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 xml:space="preserve">4. </w:t>
      </w:r>
      <w:r w:rsidRPr="002C3878">
        <w:rPr>
          <w:rFonts w:ascii="Arial" w:eastAsia="Arial" w:hAnsi="Arial" w:cs="Arial"/>
          <w:b/>
          <w:sz w:val="28"/>
          <w:szCs w:val="28"/>
          <w:highlight w:val="yellow"/>
          <w:lang w:val="en"/>
        </w:rPr>
        <w:t>Marketing Channels and Brand Awareness:</w:t>
      </w: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a. Which marketing channel can be used to reach more customers?</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drawing>
          <wp:inline distT="0" distB="0" distL="0" distR="0" wp14:anchorId="4FFE3E99" wp14:editId="67B44EC5">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C3878" w:rsidRPr="002C3878" w:rsidRDefault="002C3878" w:rsidP="002C3878">
      <w:pPr>
        <w:numPr>
          <w:ilvl w:val="1"/>
          <w:numId w:val="1"/>
        </w:numPr>
        <w:spacing w:after="0"/>
        <w:contextualSpacing/>
        <w:rPr>
          <w:rFonts w:ascii="Arial" w:eastAsia="Arial" w:hAnsi="Arial" w:cs="Arial"/>
          <w:lang w:val="en"/>
        </w:rPr>
      </w:pPr>
      <w:r w:rsidRPr="002C3878">
        <w:rPr>
          <w:rFonts w:ascii="Arial" w:eastAsia="Arial" w:hAnsi="Arial" w:cs="Arial"/>
          <w:lang w:val="en"/>
        </w:rPr>
        <w:t>Online ads can be used to reach out great number of people.</w:t>
      </w:r>
    </w:p>
    <w:p w:rsidR="002C3878" w:rsidRPr="002C3878" w:rsidRDefault="002C3878" w:rsidP="002C3878">
      <w:pPr>
        <w:numPr>
          <w:ilvl w:val="1"/>
          <w:numId w:val="1"/>
        </w:numPr>
        <w:spacing w:after="0"/>
        <w:contextualSpacing/>
        <w:rPr>
          <w:rFonts w:ascii="Arial" w:eastAsia="Arial" w:hAnsi="Arial" w:cs="Arial"/>
          <w:lang w:val="en"/>
        </w:rPr>
      </w:pPr>
      <w:r w:rsidRPr="002C3878">
        <w:rPr>
          <w:rFonts w:ascii="Arial" w:eastAsia="Arial" w:hAnsi="Arial" w:cs="Arial"/>
          <w:lang w:val="en"/>
        </w:rPr>
        <w:t xml:space="preserve">As </w:t>
      </w:r>
      <w:proofErr w:type="gramStart"/>
      <w:r w:rsidRPr="002C3878">
        <w:rPr>
          <w:rFonts w:ascii="Arial" w:eastAsia="Arial" w:hAnsi="Arial" w:cs="Arial"/>
          <w:lang w:val="en"/>
        </w:rPr>
        <w:t>it  is</w:t>
      </w:r>
      <w:proofErr w:type="gramEnd"/>
      <w:r w:rsidRPr="002C3878">
        <w:rPr>
          <w:rFonts w:ascii="Arial" w:eastAsia="Arial" w:hAnsi="Arial" w:cs="Arial"/>
          <w:lang w:val="en"/>
        </w:rPr>
        <w:t xml:space="preserve"> era of social media so we can reach the whole world through the creative and diligent use of it.</w:t>
      </w: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b. How effective are different marketing strategies and channels in reaching our customers?</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rPr>
      </w:pPr>
      <w:r w:rsidRPr="002C3878">
        <w:rPr>
          <w:rFonts w:ascii="Arial" w:eastAsia="Arial" w:hAnsi="Arial" w:cs="Arial"/>
          <w:b/>
          <w:bCs/>
        </w:rPr>
        <w:t>1. Online Ads:</w:t>
      </w:r>
      <w:r w:rsidRPr="002C3878">
        <w:rPr>
          <w:rFonts w:ascii="Arial" w:eastAsia="Arial" w:hAnsi="Arial" w:cs="Arial"/>
        </w:rPr>
        <w:t xml:space="preserve"> Online ads offer targeted reach and measurable results, making them appealing for many marketers. However, challenges like ad blindness and ad blockers can reduce their effectiveness. Despite this, they remain cost-effective options for reaching specific demographics.</w:t>
      </w:r>
    </w:p>
    <w:p w:rsidR="002C3878" w:rsidRPr="002C3878" w:rsidRDefault="002C3878" w:rsidP="002C3878">
      <w:pPr>
        <w:spacing w:after="0"/>
        <w:rPr>
          <w:rFonts w:ascii="Arial" w:eastAsia="Arial" w:hAnsi="Arial" w:cs="Arial"/>
        </w:rPr>
      </w:pPr>
      <w:r w:rsidRPr="002C3878">
        <w:rPr>
          <w:rFonts w:ascii="Arial" w:eastAsia="Arial" w:hAnsi="Arial" w:cs="Arial"/>
          <w:b/>
          <w:bCs/>
        </w:rPr>
        <w:t>2. Billboards:</w:t>
      </w:r>
      <w:r w:rsidRPr="002C3878">
        <w:rPr>
          <w:rFonts w:ascii="Arial" w:eastAsia="Arial" w:hAnsi="Arial" w:cs="Arial"/>
        </w:rPr>
        <w:t xml:space="preserve"> Billboards provide wide exposure and long-lasting visibility, particularly in high-traffic areas. However, they lack the precise targeting capabilities of online ads and can be costly to maintain. Additionally, measuring the return on investment (ROI) for billboard advertising can be challenging.</w:t>
      </w:r>
    </w:p>
    <w:p w:rsidR="002C3878" w:rsidRPr="002C3878" w:rsidRDefault="002C3878" w:rsidP="002C3878">
      <w:pPr>
        <w:spacing w:after="0"/>
        <w:rPr>
          <w:rFonts w:ascii="Arial" w:eastAsia="Arial" w:hAnsi="Arial" w:cs="Arial"/>
        </w:rPr>
      </w:pPr>
      <w:r w:rsidRPr="002C3878">
        <w:rPr>
          <w:rFonts w:ascii="Arial" w:eastAsia="Arial" w:hAnsi="Arial" w:cs="Arial"/>
          <w:b/>
          <w:bCs/>
        </w:rPr>
        <w:t>3. TV Commercials:</w:t>
      </w:r>
      <w:r w:rsidRPr="002C3878">
        <w:rPr>
          <w:rFonts w:ascii="Arial" w:eastAsia="Arial" w:hAnsi="Arial" w:cs="Arial"/>
        </w:rPr>
        <w:t xml:space="preserve"> TV commercials have the advantage of reaching a broad audience with engaging audio-visual content. However, production costs can be high, and the rise of DVR ad-skipping diminishes their effectiveness. Fragmentation of TV audiences due to streaming services also presents a challenge.</w:t>
      </w:r>
    </w:p>
    <w:p w:rsidR="002C3878" w:rsidRPr="002C3878" w:rsidRDefault="002C3878" w:rsidP="002C3878">
      <w:pPr>
        <w:spacing w:after="0"/>
        <w:rPr>
          <w:rFonts w:ascii="Arial" w:eastAsia="Arial" w:hAnsi="Arial" w:cs="Arial"/>
        </w:rPr>
      </w:pPr>
      <w:r w:rsidRPr="002C3878">
        <w:rPr>
          <w:rFonts w:ascii="Arial" w:eastAsia="Arial" w:hAnsi="Arial" w:cs="Arial"/>
          <w:b/>
          <w:bCs/>
        </w:rPr>
        <w:t>4. Print Media:</w:t>
      </w:r>
      <w:r w:rsidRPr="002C3878">
        <w:rPr>
          <w:rFonts w:ascii="Arial" w:eastAsia="Arial" w:hAnsi="Arial" w:cs="Arial"/>
        </w:rPr>
        <w:t xml:space="preserve"> Print media allows for targeted messaging and a tangible presence. While print ads can be effective in niche publications, they suffer from declining readership and limited analytics. Additionally, production timelines can be lengthy compared to digital advertising</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b/>
          <w:sz w:val="28"/>
          <w:szCs w:val="28"/>
          <w:lang w:val="en"/>
        </w:rPr>
      </w:pPr>
      <w:r w:rsidRPr="002C3878">
        <w:rPr>
          <w:rFonts w:ascii="Arial" w:eastAsia="Arial" w:hAnsi="Arial" w:cs="Arial"/>
          <w:b/>
          <w:sz w:val="28"/>
          <w:szCs w:val="28"/>
          <w:highlight w:val="cyan"/>
          <w:lang w:val="en"/>
        </w:rPr>
        <w:t>BEST STATEGY:</w:t>
      </w:r>
    </w:p>
    <w:p w:rsidR="002C3878" w:rsidRPr="002C3878" w:rsidRDefault="002C3878" w:rsidP="002C3878">
      <w:pPr>
        <w:spacing w:after="0"/>
        <w:rPr>
          <w:rFonts w:ascii="Arial" w:eastAsia="Arial" w:hAnsi="Arial" w:cs="Arial"/>
          <w:b/>
          <w:sz w:val="28"/>
          <w:szCs w:val="28"/>
          <w:lang w:val="en"/>
        </w:rPr>
      </w:pPr>
    </w:p>
    <w:p w:rsidR="002C3878" w:rsidRPr="002C3878" w:rsidRDefault="002C3878" w:rsidP="002C3878">
      <w:pPr>
        <w:numPr>
          <w:ilvl w:val="0"/>
          <w:numId w:val="2"/>
        </w:numPr>
        <w:spacing w:after="0"/>
        <w:rPr>
          <w:rFonts w:ascii="Arial" w:eastAsia="Arial" w:hAnsi="Arial" w:cs="Arial"/>
        </w:rPr>
      </w:pPr>
      <w:r w:rsidRPr="002C3878">
        <w:rPr>
          <w:rFonts w:ascii="Arial" w:eastAsia="Arial" w:hAnsi="Arial" w:cs="Arial"/>
          <w:b/>
          <w:bCs/>
        </w:rPr>
        <w:t>Targeted Audience Identification:</w:t>
      </w:r>
      <w:r w:rsidRPr="002C3878">
        <w:rPr>
          <w:rFonts w:ascii="Arial" w:eastAsia="Arial" w:hAnsi="Arial" w:cs="Arial"/>
        </w:rPr>
        <w:t xml:space="preserve"> Identify and understand your target audience, such as young adults, athletes, or professionals, to tailor your marketing messages effectively.</w:t>
      </w:r>
    </w:p>
    <w:p w:rsidR="002C3878" w:rsidRPr="002C3878" w:rsidRDefault="002C3878" w:rsidP="002C3878">
      <w:pPr>
        <w:numPr>
          <w:ilvl w:val="0"/>
          <w:numId w:val="2"/>
        </w:numPr>
        <w:spacing w:after="0"/>
        <w:rPr>
          <w:rFonts w:ascii="Arial" w:eastAsia="Arial" w:hAnsi="Arial" w:cs="Arial"/>
        </w:rPr>
      </w:pPr>
      <w:r w:rsidRPr="002C3878">
        <w:rPr>
          <w:rFonts w:ascii="Arial" w:eastAsia="Arial" w:hAnsi="Arial" w:cs="Arial"/>
          <w:b/>
          <w:bCs/>
        </w:rPr>
        <w:lastRenderedPageBreak/>
        <w:t>Brand Positioning:</w:t>
      </w:r>
      <w:r w:rsidRPr="002C3878">
        <w:rPr>
          <w:rFonts w:ascii="Arial" w:eastAsia="Arial" w:hAnsi="Arial" w:cs="Arial"/>
        </w:rPr>
        <w:t xml:space="preserve"> Clearly define your energy drink's unique selling proposition (USP) and positioning in the market, emphasizing factors like taste, ingredients, or specific benefits like increased focus or performance enhancement.</w:t>
      </w:r>
    </w:p>
    <w:p w:rsidR="002C3878" w:rsidRPr="002C3878" w:rsidRDefault="002C3878" w:rsidP="002C3878">
      <w:pPr>
        <w:numPr>
          <w:ilvl w:val="0"/>
          <w:numId w:val="2"/>
        </w:numPr>
        <w:spacing w:after="0"/>
        <w:rPr>
          <w:rFonts w:ascii="Arial" w:eastAsia="Arial" w:hAnsi="Arial" w:cs="Arial"/>
        </w:rPr>
      </w:pPr>
      <w:r w:rsidRPr="002C3878">
        <w:rPr>
          <w:rFonts w:ascii="Arial" w:eastAsia="Arial" w:hAnsi="Arial" w:cs="Arial"/>
          <w:b/>
          <w:bCs/>
        </w:rPr>
        <w:t>Digital Marketing:</w:t>
      </w:r>
      <w:r w:rsidRPr="002C3878">
        <w:rPr>
          <w:rFonts w:ascii="Arial" w:eastAsia="Arial" w:hAnsi="Arial" w:cs="Arial"/>
        </w:rPr>
        <w:t xml:space="preserve"> Utilize online channels like social media advertising and content marketing to reach your audience, leveraging targeting options to connect with users interested in fitness, sports, or an active lifestyle.</w:t>
      </w:r>
    </w:p>
    <w:p w:rsidR="002C3878" w:rsidRPr="002C3878" w:rsidRDefault="002C3878" w:rsidP="002C3878">
      <w:pPr>
        <w:numPr>
          <w:ilvl w:val="0"/>
          <w:numId w:val="2"/>
        </w:numPr>
        <w:spacing w:after="0"/>
        <w:rPr>
          <w:rFonts w:ascii="Arial" w:eastAsia="Arial" w:hAnsi="Arial" w:cs="Arial"/>
        </w:rPr>
      </w:pPr>
      <w:r w:rsidRPr="002C3878">
        <w:rPr>
          <w:rFonts w:ascii="Arial" w:eastAsia="Arial" w:hAnsi="Arial" w:cs="Arial"/>
          <w:b/>
          <w:bCs/>
        </w:rPr>
        <w:t>Event Sponsorship and Activation:</w:t>
      </w:r>
      <w:r w:rsidRPr="002C3878">
        <w:rPr>
          <w:rFonts w:ascii="Arial" w:eastAsia="Arial" w:hAnsi="Arial" w:cs="Arial"/>
        </w:rPr>
        <w:t xml:space="preserve"> Sponsor sports events, music festivals, or relevant gatherings to increase brand visibility and association with an active lifestyle, and host experiential marketing events for consumers to sample your product.</w:t>
      </w:r>
    </w:p>
    <w:p w:rsidR="002C3878" w:rsidRPr="002C3878" w:rsidRDefault="002C3878" w:rsidP="002C3878">
      <w:pPr>
        <w:numPr>
          <w:ilvl w:val="0"/>
          <w:numId w:val="2"/>
        </w:numPr>
        <w:spacing w:after="0"/>
        <w:rPr>
          <w:rFonts w:ascii="Arial" w:eastAsia="Arial" w:hAnsi="Arial" w:cs="Arial"/>
        </w:rPr>
      </w:pPr>
      <w:r w:rsidRPr="002C3878">
        <w:rPr>
          <w:rFonts w:ascii="Arial" w:eastAsia="Arial" w:hAnsi="Arial" w:cs="Arial"/>
          <w:b/>
          <w:bCs/>
        </w:rPr>
        <w:t>Partnerships and Health Messaging:</w:t>
      </w:r>
      <w:r w:rsidRPr="002C3878">
        <w:rPr>
          <w:rFonts w:ascii="Arial" w:eastAsia="Arial" w:hAnsi="Arial" w:cs="Arial"/>
        </w:rPr>
        <w:t xml:space="preserve"> Collaborate with fitness influencers, athletes, or health-focused brands to amplify your reach and credibility, while emphasizing the health benefits of your energy drink, such as natural ingredients or added nutrients.</w:t>
      </w:r>
    </w:p>
    <w:p w:rsidR="002C3878" w:rsidRPr="002C3878" w:rsidRDefault="002C3878" w:rsidP="002C3878">
      <w:pPr>
        <w:spacing w:after="0"/>
        <w:rPr>
          <w:rFonts w:ascii="Arial" w:eastAsia="Arial" w:hAnsi="Arial" w:cs="Arial"/>
          <w:vanish/>
        </w:rPr>
      </w:pPr>
      <w:r w:rsidRPr="002C3878">
        <w:rPr>
          <w:rFonts w:ascii="Arial" w:eastAsia="Arial" w:hAnsi="Arial" w:cs="Arial"/>
          <w:vanish/>
        </w:rPr>
        <w:t>Top of Form</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b/>
          <w:sz w:val="28"/>
          <w:szCs w:val="28"/>
          <w:lang w:val="en"/>
        </w:rPr>
      </w:pPr>
      <w:r w:rsidRPr="002C3878">
        <w:rPr>
          <w:rFonts w:ascii="Arial" w:eastAsia="Arial" w:hAnsi="Arial" w:cs="Arial"/>
          <w:b/>
          <w:sz w:val="28"/>
          <w:szCs w:val="28"/>
          <w:highlight w:val="yellow"/>
          <w:lang w:val="en"/>
        </w:rPr>
        <w:t>5. Brand Penetration:</w:t>
      </w: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a. What do people think about our brand? (</w:t>
      </w:r>
      <w:proofErr w:type="gramStart"/>
      <w:r w:rsidRPr="002C3878">
        <w:rPr>
          <w:rFonts w:ascii="Arial" w:eastAsia="Arial" w:hAnsi="Arial" w:cs="Arial"/>
          <w:lang w:val="en"/>
        </w:rPr>
        <w:t>overall</w:t>
      </w:r>
      <w:proofErr w:type="gramEnd"/>
      <w:r w:rsidRPr="002C3878">
        <w:rPr>
          <w:rFonts w:ascii="Arial" w:eastAsia="Arial" w:hAnsi="Arial" w:cs="Arial"/>
          <w:lang w:val="en"/>
        </w:rPr>
        <w:t xml:space="preserve"> rating)</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drawing>
          <wp:inline distT="0" distB="0" distL="0" distR="0" wp14:anchorId="1BF92441" wp14:editId="3FF0811F">
            <wp:extent cx="4654550" cy="1771650"/>
            <wp:effectExtent l="0" t="0" r="1270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2C3878" w:rsidRPr="002C3878" w:rsidRDefault="002C3878" w:rsidP="002C3878">
      <w:pPr>
        <w:numPr>
          <w:ilvl w:val="0"/>
          <w:numId w:val="3"/>
        </w:numPr>
        <w:spacing w:after="0"/>
        <w:contextualSpacing/>
        <w:rPr>
          <w:rFonts w:ascii="Arial" w:eastAsia="Arial" w:hAnsi="Arial" w:cs="Arial"/>
          <w:lang w:val="en"/>
        </w:rPr>
      </w:pPr>
      <w:r w:rsidRPr="002C3878">
        <w:rPr>
          <w:rFonts w:ascii="Arial" w:eastAsia="Arial" w:hAnsi="Arial" w:cs="Arial"/>
          <w:lang w:val="en"/>
        </w:rPr>
        <w:t>Most of the customers who have tried our energy drink have rated it normally.</w:t>
      </w:r>
    </w:p>
    <w:p w:rsidR="002C3878" w:rsidRPr="002C3878" w:rsidRDefault="002C3878" w:rsidP="002C3878">
      <w:pPr>
        <w:numPr>
          <w:ilvl w:val="0"/>
          <w:numId w:val="3"/>
        </w:numPr>
        <w:spacing w:after="0"/>
        <w:contextualSpacing/>
        <w:rPr>
          <w:rFonts w:ascii="Arial" w:eastAsia="Arial" w:hAnsi="Arial" w:cs="Arial"/>
          <w:lang w:val="en"/>
        </w:rPr>
      </w:pPr>
      <w:r w:rsidRPr="002C3878">
        <w:rPr>
          <w:rFonts w:ascii="Arial" w:eastAsia="Arial" w:hAnsi="Arial" w:cs="Arial"/>
          <w:lang w:val="en"/>
        </w:rPr>
        <w:t>19.86% are fully satisfied by our energy drink.</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b. Which cities do we need to focus more on?</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lastRenderedPageBreak/>
        <w:drawing>
          <wp:inline distT="0" distB="0" distL="0" distR="0" wp14:anchorId="40BB7922" wp14:editId="7322D488">
            <wp:extent cx="4572000" cy="2743200"/>
            <wp:effectExtent l="0" t="0" r="19050" b="1905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City with highest costumers is Bangalore.</w:t>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Delhi despite the capital has low costumers, we should focus on that.</w:t>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We should do marketing with different strategies on order to increase our customers and sales.</w:t>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As most of the customers know us because of Online Ads, so we should focus on it.</w:t>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 xml:space="preserve">We should focus on cities like Delhi, Jaipur, </w:t>
      </w:r>
      <w:proofErr w:type="spellStart"/>
      <w:r w:rsidRPr="002C3878">
        <w:rPr>
          <w:rFonts w:ascii="Arial" w:eastAsia="Arial" w:hAnsi="Arial" w:cs="Arial"/>
          <w:lang w:val="en"/>
        </w:rPr>
        <w:t>Lucknow</w:t>
      </w:r>
      <w:proofErr w:type="spellEnd"/>
      <w:r w:rsidRPr="002C3878">
        <w:rPr>
          <w:rFonts w:ascii="Arial" w:eastAsia="Arial" w:hAnsi="Arial" w:cs="Arial"/>
          <w:lang w:val="en"/>
        </w:rPr>
        <w:t>, and Ahmedabad.</w:t>
      </w:r>
    </w:p>
    <w:p w:rsidR="002C3878" w:rsidRPr="002C3878" w:rsidRDefault="002C3878" w:rsidP="002C3878">
      <w:pPr>
        <w:numPr>
          <w:ilvl w:val="0"/>
          <w:numId w:val="4"/>
        </w:numPr>
        <w:spacing w:after="0"/>
        <w:contextualSpacing/>
        <w:rPr>
          <w:rFonts w:ascii="Arial" w:eastAsia="Arial" w:hAnsi="Arial" w:cs="Arial"/>
          <w:lang w:val="en"/>
        </w:rPr>
      </w:pPr>
      <w:r w:rsidRPr="002C3878">
        <w:rPr>
          <w:rFonts w:ascii="Arial" w:eastAsia="Arial" w:hAnsi="Arial" w:cs="Arial"/>
          <w:lang w:val="en"/>
        </w:rPr>
        <w:t>And also on other cities to improve our sales.</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b/>
          <w:sz w:val="28"/>
          <w:szCs w:val="28"/>
          <w:lang w:val="en"/>
        </w:rPr>
      </w:pPr>
      <w:r w:rsidRPr="002C3878">
        <w:rPr>
          <w:rFonts w:ascii="Arial" w:eastAsia="Arial" w:hAnsi="Arial" w:cs="Arial"/>
          <w:b/>
          <w:sz w:val="28"/>
          <w:szCs w:val="28"/>
          <w:highlight w:val="yellow"/>
          <w:lang w:val="en"/>
        </w:rPr>
        <w:t>6. Purchase Behavior:</w:t>
      </w:r>
    </w:p>
    <w:p w:rsidR="002C3878" w:rsidRPr="002C3878" w:rsidRDefault="002C3878" w:rsidP="002C3878">
      <w:pPr>
        <w:spacing w:after="0"/>
        <w:rPr>
          <w:rFonts w:ascii="Arial" w:eastAsia="Arial" w:hAnsi="Arial" w:cs="Arial"/>
          <w:b/>
          <w:sz w:val="28"/>
          <w:szCs w:val="28"/>
          <w:lang w:val="en"/>
        </w:rPr>
      </w:pP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a. Where do respondents prefer to purchase energy drinks?</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drawing>
          <wp:inline distT="0" distB="0" distL="0" distR="0" wp14:anchorId="511B1320" wp14:editId="16B98413">
            <wp:extent cx="5016500" cy="2349500"/>
            <wp:effectExtent l="0" t="0" r="1270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2C3878" w:rsidRPr="002C3878" w:rsidRDefault="002C3878" w:rsidP="002C3878">
      <w:pPr>
        <w:numPr>
          <w:ilvl w:val="1"/>
          <w:numId w:val="5"/>
        </w:numPr>
        <w:spacing w:after="0"/>
        <w:contextualSpacing/>
        <w:rPr>
          <w:rFonts w:ascii="Arial" w:eastAsia="Arial" w:hAnsi="Arial" w:cs="Arial"/>
          <w:lang w:val="en"/>
        </w:rPr>
      </w:pPr>
      <w:r w:rsidRPr="002C3878">
        <w:rPr>
          <w:rFonts w:ascii="Arial" w:eastAsia="Arial" w:hAnsi="Arial" w:cs="Arial"/>
          <w:lang w:val="en"/>
        </w:rPr>
        <w:t>Super markets are preferred to buy energy drink.</w:t>
      </w:r>
    </w:p>
    <w:p w:rsidR="002C3878" w:rsidRPr="002C3878" w:rsidRDefault="002C3878" w:rsidP="002C3878">
      <w:pPr>
        <w:numPr>
          <w:ilvl w:val="1"/>
          <w:numId w:val="5"/>
        </w:numPr>
        <w:spacing w:after="0"/>
        <w:contextualSpacing/>
        <w:rPr>
          <w:rFonts w:ascii="Arial" w:eastAsia="Arial" w:hAnsi="Arial" w:cs="Arial"/>
          <w:lang w:val="en"/>
        </w:rPr>
      </w:pPr>
      <w:r w:rsidRPr="002C3878">
        <w:rPr>
          <w:rFonts w:ascii="Arial" w:eastAsia="Arial" w:hAnsi="Arial" w:cs="Arial"/>
          <w:lang w:val="en"/>
        </w:rPr>
        <w:t>About 44.94% of our customers have bought it from supermarkets.</w:t>
      </w:r>
    </w:p>
    <w:p w:rsidR="002C3878" w:rsidRPr="002C3878" w:rsidRDefault="002C3878" w:rsidP="002C3878">
      <w:pPr>
        <w:spacing w:after="0"/>
        <w:ind w:left="360"/>
        <w:rPr>
          <w:rFonts w:ascii="Arial" w:eastAsia="Arial" w:hAnsi="Arial" w:cs="Arial"/>
          <w:lang w:val="en"/>
        </w:rPr>
      </w:pP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b. What are the typical consumption situations for energy drinks among respondents?</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lastRenderedPageBreak/>
        <w:drawing>
          <wp:inline distT="0" distB="0" distL="0" distR="0" wp14:anchorId="1AD15E92" wp14:editId="6D25C4C7">
            <wp:extent cx="4572000" cy="27432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2C3878" w:rsidRPr="002C3878" w:rsidRDefault="002C3878" w:rsidP="002C3878">
      <w:pPr>
        <w:numPr>
          <w:ilvl w:val="0"/>
          <w:numId w:val="6"/>
        </w:numPr>
        <w:spacing w:after="0"/>
        <w:contextualSpacing/>
        <w:rPr>
          <w:rFonts w:ascii="Arial" w:eastAsia="Arial" w:hAnsi="Arial" w:cs="Arial"/>
          <w:lang w:val="en"/>
        </w:rPr>
      </w:pPr>
      <w:r w:rsidRPr="002C3878">
        <w:rPr>
          <w:rFonts w:ascii="Arial" w:eastAsia="Arial" w:hAnsi="Arial" w:cs="Arial"/>
          <w:lang w:val="en"/>
        </w:rPr>
        <w:t>44.94% of costumers are using energy drink in situation of sports or exercise.</w:t>
      </w:r>
    </w:p>
    <w:p w:rsidR="002C3878" w:rsidRPr="002C3878" w:rsidRDefault="002C3878" w:rsidP="002C3878">
      <w:pPr>
        <w:numPr>
          <w:ilvl w:val="0"/>
          <w:numId w:val="6"/>
        </w:numPr>
        <w:spacing w:after="0"/>
        <w:contextualSpacing/>
        <w:rPr>
          <w:rFonts w:ascii="Arial" w:eastAsia="Arial" w:hAnsi="Arial" w:cs="Arial"/>
          <w:lang w:val="en"/>
        </w:rPr>
      </w:pPr>
      <w:r w:rsidRPr="002C3878">
        <w:rPr>
          <w:rFonts w:ascii="Arial" w:eastAsia="Arial" w:hAnsi="Arial" w:cs="Arial"/>
          <w:lang w:val="en"/>
        </w:rPr>
        <w:t>Most of customers use it during sports activity or exercise.</w:t>
      </w:r>
    </w:p>
    <w:p w:rsidR="002C3878" w:rsidRPr="002C3878" w:rsidRDefault="002C3878" w:rsidP="002C3878">
      <w:pPr>
        <w:spacing w:after="0"/>
        <w:ind w:left="360"/>
        <w:contextualSpacing/>
        <w:rPr>
          <w:rFonts w:ascii="Arial" w:eastAsia="Arial" w:hAnsi="Arial" w:cs="Arial"/>
          <w:lang w:val="en"/>
        </w:rPr>
      </w:pP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c. What factors influence respondents' purchase decisions, such as price range and limited edition packaging?</w:t>
      </w:r>
    </w:p>
    <w:p w:rsidR="002C3878" w:rsidRPr="002C3878" w:rsidRDefault="002C3878" w:rsidP="002C3878">
      <w:pPr>
        <w:spacing w:after="0"/>
        <w:rPr>
          <w:rFonts w:ascii="Arial" w:eastAsia="Arial" w:hAnsi="Arial" w:cs="Arial"/>
          <w:lang w:val="en"/>
        </w:rPr>
      </w:pPr>
      <w:r w:rsidRPr="002C3878">
        <w:rPr>
          <w:rFonts w:ascii="Arial" w:eastAsia="Arial" w:hAnsi="Arial" w:cs="Arial"/>
          <w:noProof/>
        </w:rPr>
        <w:drawing>
          <wp:inline distT="0" distB="0" distL="0" distR="0" wp14:anchorId="40D42BE6" wp14:editId="26A4E12F">
            <wp:extent cx="4508500" cy="2743200"/>
            <wp:effectExtent l="0" t="0" r="635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2C3878" w:rsidRPr="002C3878" w:rsidRDefault="002C3878" w:rsidP="002C3878">
      <w:pPr>
        <w:numPr>
          <w:ilvl w:val="0"/>
          <w:numId w:val="7"/>
        </w:numPr>
        <w:spacing w:after="0"/>
        <w:contextualSpacing/>
        <w:rPr>
          <w:rFonts w:ascii="Arial" w:eastAsia="Arial" w:hAnsi="Arial" w:cs="Arial"/>
          <w:lang w:val="en"/>
        </w:rPr>
      </w:pPr>
      <w:r w:rsidRPr="002C3878">
        <w:rPr>
          <w:rFonts w:ascii="Arial" w:eastAsia="Arial" w:hAnsi="Arial" w:cs="Arial"/>
          <w:lang w:val="en"/>
        </w:rPr>
        <w:t>Limited edition packing has influenced about 39.46% of customers.</w:t>
      </w:r>
    </w:p>
    <w:p w:rsidR="002C3878" w:rsidRPr="002C3878" w:rsidRDefault="002C3878" w:rsidP="002C3878">
      <w:pPr>
        <w:numPr>
          <w:ilvl w:val="0"/>
          <w:numId w:val="7"/>
        </w:numPr>
        <w:spacing w:after="0"/>
        <w:contextualSpacing/>
        <w:rPr>
          <w:rFonts w:ascii="Arial" w:eastAsia="Arial" w:hAnsi="Arial" w:cs="Arial"/>
          <w:lang w:val="en"/>
        </w:rPr>
      </w:pPr>
      <w:r w:rsidRPr="002C3878">
        <w:rPr>
          <w:rFonts w:ascii="Arial" w:eastAsia="Arial" w:hAnsi="Arial" w:cs="Arial"/>
          <w:lang w:val="en"/>
        </w:rPr>
        <w:t>And 40.23% are not influenced by it.</w:t>
      </w:r>
    </w:p>
    <w:p w:rsidR="002C3878" w:rsidRPr="002C3878" w:rsidRDefault="002C3878" w:rsidP="002C3878">
      <w:pPr>
        <w:spacing w:after="0"/>
        <w:ind w:left="720"/>
        <w:contextualSpacing/>
        <w:rPr>
          <w:rFonts w:ascii="Arial" w:eastAsia="Arial" w:hAnsi="Arial" w:cs="Arial"/>
          <w:lang w:val="en"/>
        </w:rPr>
      </w:pPr>
      <w:r w:rsidRPr="002C3878">
        <w:rPr>
          <w:rFonts w:ascii="Arial" w:eastAsia="Arial" w:hAnsi="Arial" w:cs="Arial"/>
          <w:lang w:val="en"/>
        </w:rPr>
        <w:lastRenderedPageBreak/>
        <w:t xml:space="preserve">  </w:t>
      </w:r>
      <w:r w:rsidRPr="002C3878">
        <w:rPr>
          <w:rFonts w:ascii="Arial" w:eastAsia="Arial" w:hAnsi="Arial" w:cs="Arial"/>
          <w:noProof/>
        </w:rPr>
        <w:drawing>
          <wp:inline distT="0" distB="0" distL="0" distR="0" wp14:anchorId="265B0663" wp14:editId="0D10C874">
            <wp:extent cx="4508500" cy="2743200"/>
            <wp:effectExtent l="0" t="0" r="635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 xml:space="preserve">7. </w:t>
      </w:r>
      <w:r w:rsidRPr="002C3878">
        <w:rPr>
          <w:rFonts w:ascii="Arial" w:eastAsia="Arial" w:hAnsi="Arial" w:cs="Arial"/>
          <w:b/>
          <w:sz w:val="28"/>
          <w:szCs w:val="28"/>
          <w:highlight w:val="yellow"/>
          <w:lang w:val="en"/>
        </w:rPr>
        <w:t>Product Development</w:t>
      </w:r>
    </w:p>
    <w:p w:rsidR="002C3878" w:rsidRPr="002C3878" w:rsidRDefault="002C3878" w:rsidP="002C3878">
      <w:pPr>
        <w:spacing w:after="0"/>
        <w:rPr>
          <w:rFonts w:ascii="Arial" w:eastAsia="Arial" w:hAnsi="Arial" w:cs="Arial"/>
          <w:lang w:val="en"/>
        </w:rPr>
      </w:pPr>
      <w:r w:rsidRPr="002C3878">
        <w:rPr>
          <w:rFonts w:ascii="Arial" w:eastAsia="Arial" w:hAnsi="Arial" w:cs="Arial"/>
          <w:lang w:val="en"/>
        </w:rPr>
        <w:t>a. Which area of business should we focus more on our product development? (Branding/taste/availability)</w:t>
      </w: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p>
    <w:p w:rsidR="002C3878" w:rsidRPr="002C3878" w:rsidRDefault="002C3878" w:rsidP="002C3878">
      <w:pPr>
        <w:spacing w:after="0"/>
        <w:rPr>
          <w:rFonts w:ascii="Arial" w:eastAsia="Arial" w:hAnsi="Arial" w:cs="Arial"/>
          <w:lang w:val="en"/>
        </w:rPr>
      </w:pPr>
      <w:r w:rsidRPr="002C3878">
        <w:rPr>
          <w:rFonts w:ascii="Arial" w:eastAsia="Arial" w:hAnsi="Arial" w:cs="Arial"/>
          <w:noProof/>
        </w:rPr>
        <w:drawing>
          <wp:inline distT="0" distB="0" distL="0" distR="0" wp14:anchorId="57E6BE5D" wp14:editId="4A21E6C7">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C3878" w:rsidRPr="002C3878" w:rsidRDefault="002C3878" w:rsidP="002C3878">
      <w:pPr>
        <w:spacing w:after="0"/>
        <w:ind w:left="720"/>
        <w:contextualSpacing/>
        <w:rPr>
          <w:rFonts w:ascii="Arial" w:eastAsia="Arial" w:hAnsi="Arial" w:cs="Arial"/>
          <w:lang w:val="en"/>
        </w:rPr>
      </w:pPr>
    </w:p>
    <w:p w:rsidR="002C3878" w:rsidRPr="002C3878" w:rsidRDefault="002C3878" w:rsidP="002C3878">
      <w:pPr>
        <w:numPr>
          <w:ilvl w:val="0"/>
          <w:numId w:val="8"/>
        </w:numPr>
        <w:spacing w:after="0"/>
        <w:contextualSpacing/>
        <w:rPr>
          <w:rFonts w:ascii="Arial" w:eastAsia="Arial" w:hAnsi="Arial" w:cs="Arial"/>
        </w:rPr>
      </w:pPr>
      <w:r w:rsidRPr="002C3878">
        <w:rPr>
          <w:rFonts w:ascii="Arial" w:eastAsia="Arial" w:hAnsi="Arial" w:cs="Arial"/>
        </w:rPr>
        <w:t>Based on the survey results for our energy drink brand:</w:t>
      </w:r>
    </w:p>
    <w:p w:rsidR="002C3878" w:rsidRPr="002C3878" w:rsidRDefault="002C3878" w:rsidP="002C3878">
      <w:pPr>
        <w:numPr>
          <w:ilvl w:val="0"/>
          <w:numId w:val="8"/>
        </w:numPr>
        <w:spacing w:after="0"/>
        <w:contextualSpacing/>
        <w:rPr>
          <w:rFonts w:ascii="Arial" w:eastAsia="Arial" w:hAnsi="Arial" w:cs="Arial"/>
        </w:rPr>
      </w:pPr>
      <w:r w:rsidRPr="002C3878">
        <w:rPr>
          <w:rFonts w:ascii="Arial" w:eastAsia="Arial" w:hAnsi="Arial" w:cs="Arial"/>
          <w:b/>
          <w:bCs/>
        </w:rPr>
        <w:t>Brand Reputation</w:t>
      </w:r>
      <w:r w:rsidRPr="002C3878">
        <w:rPr>
          <w:rFonts w:ascii="Arial" w:eastAsia="Arial" w:hAnsi="Arial" w:cs="Arial"/>
        </w:rPr>
        <w:t xml:space="preserve">: With 26.52% of customers choosing our brand based on </w:t>
      </w:r>
      <w:proofErr w:type="gramStart"/>
      <w:r w:rsidRPr="002C3878">
        <w:rPr>
          <w:rFonts w:ascii="Arial" w:eastAsia="Arial" w:hAnsi="Arial" w:cs="Arial"/>
        </w:rPr>
        <w:t>reputation,</w:t>
      </w:r>
      <w:proofErr w:type="gramEnd"/>
      <w:r w:rsidRPr="002C3878">
        <w:rPr>
          <w:rFonts w:ascii="Arial" w:eastAsia="Arial" w:hAnsi="Arial" w:cs="Arial"/>
        </w:rPr>
        <w:t xml:space="preserve"> focus on reinforcing and enhancing our brand image through marketing and customer engagement efforts.</w:t>
      </w:r>
    </w:p>
    <w:p w:rsidR="002C3878" w:rsidRPr="002C3878" w:rsidRDefault="002C3878" w:rsidP="002C3878">
      <w:pPr>
        <w:numPr>
          <w:ilvl w:val="0"/>
          <w:numId w:val="8"/>
        </w:numPr>
        <w:spacing w:after="0"/>
        <w:contextualSpacing/>
        <w:rPr>
          <w:rFonts w:ascii="Arial" w:eastAsia="Arial" w:hAnsi="Arial" w:cs="Arial"/>
        </w:rPr>
      </w:pPr>
      <w:r w:rsidRPr="002C3878">
        <w:rPr>
          <w:rFonts w:ascii="Arial" w:eastAsia="Arial" w:hAnsi="Arial" w:cs="Arial"/>
          <w:b/>
          <w:bCs/>
        </w:rPr>
        <w:t>Taste/Flavor Preference</w:t>
      </w:r>
      <w:r w:rsidRPr="002C3878">
        <w:rPr>
          <w:rFonts w:ascii="Arial" w:eastAsia="Arial" w:hAnsi="Arial" w:cs="Arial"/>
        </w:rPr>
        <w:t>: At 20.11%, taste is a significant factor. Invest in product development to offer appealing flavors that resonate with our target market.</w:t>
      </w:r>
    </w:p>
    <w:p w:rsidR="00632C96" w:rsidRDefault="002C3878">
      <w:bookmarkStart w:id="0" w:name="_GoBack"/>
      <w:bookmarkEnd w:id="0"/>
    </w:p>
    <w:sectPr w:rsidR="00632C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944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1DB567D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23D43869"/>
    <w:multiLevelType w:val="hybridMultilevel"/>
    <w:tmpl w:val="B048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0B7665"/>
    <w:multiLevelType w:val="multilevel"/>
    <w:tmpl w:val="9654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E4167E8"/>
    <w:multiLevelType w:val="hybridMultilevel"/>
    <w:tmpl w:val="10446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FE4F69"/>
    <w:multiLevelType w:val="hybridMultilevel"/>
    <w:tmpl w:val="64F8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1246E7"/>
    <w:multiLevelType w:val="hybridMultilevel"/>
    <w:tmpl w:val="C19E6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826A10"/>
    <w:multiLevelType w:val="hybridMultilevel"/>
    <w:tmpl w:val="6944D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1"/>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AB3"/>
    <w:rsid w:val="002C3878"/>
    <w:rsid w:val="00A1636E"/>
    <w:rsid w:val="00DF1D8D"/>
    <w:rsid w:val="00F51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38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87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38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87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chart" Target="charts/chart8.xml"/><Relationship Id="rId3" Type="http://schemas.microsoft.com/office/2007/relationships/stylesWithEffects" Target="stylesWithEffects.xml"/><Relationship Id="rId7" Type="http://schemas.openxmlformats.org/officeDocument/2006/relationships/chart" Target="charts/chart2.xml"/><Relationship Id="rId12" Type="http://schemas.openxmlformats.org/officeDocument/2006/relationships/chart" Target="charts/chart7.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chart" Target="charts/chart6.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pivotSource>
    <c:name>[Portfolio Survey.xls]Sheet5!PivotTable3</c:name>
    <c:fmtId val="-1"/>
  </c:pivotSource>
  <c:chart>
    <c:title>
      <c:tx>
        <c:rich>
          <a:bodyPr/>
          <a:lstStyle/>
          <a:p>
            <a:pPr>
              <a:defRPr/>
            </a:pPr>
            <a:r>
              <a:rPr lang="en-US"/>
              <a:t>Marketing</a:t>
            </a:r>
            <a:r>
              <a:rPr lang="en-US" baseline="0"/>
              <a:t> Channels</a:t>
            </a:r>
            <a:endParaRPr lang="en-US"/>
          </a:p>
        </c:rich>
      </c:tx>
      <c:overlay val="0"/>
    </c:title>
    <c:autoTitleDeleted val="0"/>
    <c:pivotFmts>
      <c:pivotFmt>
        <c:idx val="0"/>
        <c:dLbl>
          <c:idx val="0"/>
          <c:spPr/>
          <c:txPr>
            <a:bodyPr/>
            <a:lstStyle/>
            <a:p>
              <a:pPr>
                <a:defRPr/>
              </a:pPr>
              <a:endParaRPr lang="en-US"/>
            </a:p>
          </c:txPr>
          <c:showLegendKey val="0"/>
          <c:showVal val="1"/>
          <c:showCatName val="0"/>
          <c:showSerName val="0"/>
          <c:showPercent val="0"/>
          <c:showBubbleSize val="0"/>
        </c:dLbl>
      </c:pivotFmt>
      <c:pivotFmt>
        <c:idx val="1"/>
        <c:marker>
          <c:symbol val="none"/>
        </c:marker>
        <c:dLbl>
          <c:idx val="0"/>
          <c:spPr/>
          <c:txPr>
            <a:bodyPr/>
            <a:lstStyle/>
            <a:p>
              <a:pPr>
                <a:defRPr/>
              </a:pPr>
              <a:endParaRPr lang="en-US"/>
            </a:p>
          </c:txPr>
          <c:showLegendKey val="0"/>
          <c:showVal val="1"/>
          <c:showCatName val="0"/>
          <c:showSerName val="0"/>
          <c:showPercent val="0"/>
          <c:showBubbleSize val="0"/>
        </c:dLbl>
      </c:pivotFmt>
      <c:pivotFmt>
        <c:idx val="2"/>
        <c:marker>
          <c:symbol val="none"/>
        </c:marker>
      </c:pivotFmt>
      <c:pivotFmt>
        <c:idx val="3"/>
        <c:marker>
          <c:symbol val="none"/>
        </c:marker>
      </c:pivotFmt>
      <c:pivotFmt>
        <c:idx val="4"/>
        <c:marker>
          <c:symbol val="none"/>
        </c:marker>
        <c:dLbl>
          <c:idx val="0"/>
          <c:spPr/>
          <c:txPr>
            <a:bodyPr/>
            <a:lstStyle/>
            <a:p>
              <a:pPr>
                <a:defRPr/>
              </a:pPr>
              <a:endParaRPr lang="en-US"/>
            </a:p>
          </c:txPr>
          <c:showLegendKey val="0"/>
          <c:showVal val="1"/>
          <c:showCatName val="0"/>
          <c:showSerName val="0"/>
          <c:showPercent val="0"/>
          <c:showBubbleSize val="0"/>
        </c:dLbl>
      </c:pivotFmt>
      <c:pivotFmt>
        <c:idx val="5"/>
        <c:marker>
          <c:symbol val="none"/>
        </c:marker>
        <c:dLbl>
          <c:idx val="0"/>
          <c:spPr/>
          <c:txPr>
            <a:bodyPr/>
            <a:lstStyle/>
            <a:p>
              <a:pPr>
                <a:defRPr/>
              </a:pPr>
              <a:endParaRPr lang="en-US"/>
            </a:p>
          </c:txPr>
          <c:showLegendKey val="0"/>
          <c:showVal val="1"/>
          <c:showCatName val="0"/>
          <c:showSerName val="0"/>
          <c:showPercent val="0"/>
          <c:showBubbleSize val="0"/>
        </c:dLbl>
      </c:pivotFmt>
      <c:pivotFmt>
        <c:idx val="6"/>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bar"/>
        <c:grouping val="clustered"/>
        <c:varyColors val="0"/>
        <c:ser>
          <c:idx val="0"/>
          <c:order val="0"/>
          <c:tx>
            <c:strRef>
              <c:f>Sheet5!$B$3:$B$4</c:f>
              <c:strCache>
                <c:ptCount val="1"/>
                <c:pt idx="0">
                  <c:v>Total</c:v>
                </c:pt>
              </c:strCache>
            </c:strRef>
          </c:tx>
          <c:invertIfNegative val="0"/>
          <c:cat>
            <c:strRef>
              <c:f>Sheet5!$A$5:$A$10</c:f>
              <c:strCache>
                <c:ptCount val="5"/>
                <c:pt idx="0">
                  <c:v>Online ads</c:v>
                </c:pt>
                <c:pt idx="1">
                  <c:v>Other</c:v>
                </c:pt>
                <c:pt idx="2">
                  <c:v>Outdoor billboards</c:v>
                </c:pt>
                <c:pt idx="3">
                  <c:v>Print media</c:v>
                </c:pt>
                <c:pt idx="4">
                  <c:v>TV commercials</c:v>
                </c:pt>
              </c:strCache>
            </c:strRef>
          </c:cat>
          <c:val>
            <c:numRef>
              <c:f>Sheet5!$B$5:$B$10</c:f>
              <c:numCache>
                <c:formatCode>0.00%</c:formatCode>
                <c:ptCount val="5"/>
                <c:pt idx="0">
                  <c:v>0.40200000000000002</c:v>
                </c:pt>
                <c:pt idx="1">
                  <c:v>0.1225</c:v>
                </c:pt>
                <c:pt idx="2">
                  <c:v>0.1226</c:v>
                </c:pt>
                <c:pt idx="3">
                  <c:v>8.4099999999999994E-2</c:v>
                </c:pt>
                <c:pt idx="4">
                  <c:v>0.26879999999999998</c:v>
                </c:pt>
              </c:numCache>
            </c:numRef>
          </c:val>
        </c:ser>
        <c:dLbls>
          <c:showLegendKey val="0"/>
          <c:showVal val="1"/>
          <c:showCatName val="0"/>
          <c:showSerName val="0"/>
          <c:showPercent val="0"/>
          <c:showBubbleSize val="0"/>
        </c:dLbls>
        <c:gapWidth val="150"/>
        <c:overlap val="-25"/>
        <c:axId val="242277376"/>
        <c:axId val="345219840"/>
      </c:barChart>
      <c:catAx>
        <c:axId val="242277376"/>
        <c:scaling>
          <c:orientation val="minMax"/>
        </c:scaling>
        <c:delete val="0"/>
        <c:axPos val="l"/>
        <c:majorTickMark val="none"/>
        <c:minorTickMark val="none"/>
        <c:tickLblPos val="nextTo"/>
        <c:crossAx val="345219840"/>
        <c:crosses val="autoZero"/>
        <c:auto val="1"/>
        <c:lblAlgn val="ctr"/>
        <c:lblOffset val="100"/>
        <c:noMultiLvlLbl val="0"/>
      </c:catAx>
      <c:valAx>
        <c:axId val="345219840"/>
        <c:scaling>
          <c:orientation val="minMax"/>
        </c:scaling>
        <c:delete val="1"/>
        <c:axPos val="b"/>
        <c:numFmt formatCode="0.00%" sourceLinked="1"/>
        <c:majorTickMark val="none"/>
        <c:minorTickMark val="none"/>
        <c:tickLblPos val="nextTo"/>
        <c:crossAx val="242277376"/>
        <c:crosses val="autoZero"/>
        <c:crossBetween val="between"/>
      </c:valAx>
    </c:plotArea>
    <c:legend>
      <c:legendPos val="t"/>
      <c:overlay val="0"/>
    </c:legend>
    <c:plotVisOnly val="1"/>
    <c:dispBlanksAs val="gap"/>
    <c:showDLblsOverMax val="0"/>
  </c:chart>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pivotSource>
    <c:name>[Portfolio Survey.xls]Sheet5!PivotTable3</c:name>
    <c:fmtId val="-1"/>
  </c:pivotSource>
  <c:chart>
    <c:title>
      <c:tx>
        <c:rich>
          <a:bodyPr/>
          <a:lstStyle/>
          <a:p>
            <a:pPr>
              <a:defRPr/>
            </a:pPr>
            <a:r>
              <a:rPr lang="en-US"/>
              <a:t>Ratings</a:t>
            </a:r>
          </a:p>
        </c:rich>
      </c:tx>
      <c:overlay val="0"/>
    </c:title>
    <c:autoTitleDeleted val="0"/>
    <c:pivotFmts>
      <c:pivotFmt>
        <c:idx val="0"/>
        <c:dLbl>
          <c:idx val="0"/>
          <c:spPr/>
          <c:txPr>
            <a:bodyPr/>
            <a:lstStyle/>
            <a:p>
              <a:pPr>
                <a:defRPr/>
              </a:pPr>
              <a:endParaRPr lang="en-US"/>
            </a:p>
          </c:txPr>
          <c:showLegendKey val="0"/>
          <c:showVal val="1"/>
          <c:showCatName val="0"/>
          <c:showSerName val="0"/>
          <c:showPercent val="0"/>
          <c:showBubbleSize val="0"/>
        </c:dLbl>
      </c:pivotFmt>
      <c:pivotFmt>
        <c:idx val="1"/>
        <c:marker>
          <c:symbol val="none"/>
        </c:marker>
        <c:dLbl>
          <c:idx val="0"/>
          <c:spPr/>
          <c:txPr>
            <a:bodyPr/>
            <a:lstStyle/>
            <a:p>
              <a:pPr>
                <a:defRPr/>
              </a:pPr>
              <a:endParaRPr lang="en-US"/>
            </a:p>
          </c:txPr>
          <c:showLegendKey val="0"/>
          <c:showVal val="1"/>
          <c:showCatName val="0"/>
          <c:showSerName val="0"/>
          <c:showPercent val="0"/>
          <c:showBubbleSize val="0"/>
        </c:dLbl>
      </c:pivotFmt>
      <c:pivotFmt>
        <c:idx val="2"/>
        <c:marker>
          <c:symbol val="none"/>
        </c:marker>
      </c:pivotFmt>
      <c:pivotFmt>
        <c:idx val="3"/>
        <c:marker>
          <c:symbol val="none"/>
        </c:marker>
      </c:pivotFmt>
      <c:pivotFmt>
        <c:idx val="4"/>
        <c:marker>
          <c:symbol val="none"/>
        </c:marker>
        <c:dLbl>
          <c:idx val="0"/>
          <c:spPr/>
          <c:txPr>
            <a:bodyPr/>
            <a:lstStyle/>
            <a:p>
              <a:pPr>
                <a:defRPr/>
              </a:pPr>
              <a:endParaRPr lang="en-US"/>
            </a:p>
          </c:txPr>
          <c:showLegendKey val="0"/>
          <c:showVal val="1"/>
          <c:showCatName val="0"/>
          <c:showSerName val="0"/>
          <c:showPercent val="0"/>
          <c:showBubbleSize val="0"/>
        </c:dLbl>
      </c:pivotFmt>
      <c:pivotFmt>
        <c:idx val="5"/>
        <c:marker>
          <c:symbol val="none"/>
        </c:marker>
        <c:dLbl>
          <c:idx val="0"/>
          <c:spPr/>
          <c:txPr>
            <a:bodyPr/>
            <a:lstStyle/>
            <a:p>
              <a:pPr>
                <a:defRPr/>
              </a:pPr>
              <a:endParaRPr lang="en-US"/>
            </a:p>
          </c:txPr>
          <c:showLegendKey val="0"/>
          <c:showVal val="1"/>
          <c:showCatName val="0"/>
          <c:showSerName val="0"/>
          <c:showPercent val="0"/>
          <c:showBubbleSize val="0"/>
        </c:dLbl>
      </c:pivotFmt>
      <c:pivotFmt>
        <c:idx val="6"/>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bar"/>
        <c:grouping val="clustered"/>
        <c:varyColors val="0"/>
        <c:ser>
          <c:idx val="0"/>
          <c:order val="0"/>
          <c:tx>
            <c:strRef>
              <c:f>Sheet5!$B$3:$B$4</c:f>
              <c:strCache>
                <c:ptCount val="1"/>
                <c:pt idx="0">
                  <c:v>Total</c:v>
                </c:pt>
              </c:strCache>
            </c:strRef>
          </c:tx>
          <c:invertIfNegative val="0"/>
          <c:cat>
            <c:strRef>
              <c:f>Sheet5!$A$5:$A$11</c:f>
              <c:strCache>
                <c:ptCount val="6"/>
                <c:pt idx="0">
                  <c:v>1</c:v>
                </c:pt>
                <c:pt idx="1">
                  <c:v>2</c:v>
                </c:pt>
                <c:pt idx="2">
                  <c:v>3</c:v>
                </c:pt>
                <c:pt idx="3">
                  <c:v>4</c:v>
                </c:pt>
                <c:pt idx="4">
                  <c:v>5</c:v>
                </c:pt>
                <c:pt idx="5">
                  <c:v>(blank)</c:v>
                </c:pt>
              </c:strCache>
            </c:strRef>
          </c:cat>
          <c:val>
            <c:numRef>
              <c:f>Sheet5!$B$5:$B$11</c:f>
              <c:numCache>
                <c:formatCode>0.00%</c:formatCode>
                <c:ptCount val="6"/>
                <c:pt idx="0">
                  <c:v>0.10539999999999999</c:v>
                </c:pt>
                <c:pt idx="1">
                  <c:v>0.15240000000000001</c:v>
                </c:pt>
                <c:pt idx="2">
                  <c:v>0.29570000000000002</c:v>
                </c:pt>
                <c:pt idx="3">
                  <c:v>0.24790000000000001</c:v>
                </c:pt>
                <c:pt idx="4">
                  <c:v>0.1986</c:v>
                </c:pt>
                <c:pt idx="5">
                  <c:v>0</c:v>
                </c:pt>
              </c:numCache>
            </c:numRef>
          </c:val>
        </c:ser>
        <c:dLbls>
          <c:showLegendKey val="0"/>
          <c:showVal val="1"/>
          <c:showCatName val="0"/>
          <c:showSerName val="0"/>
          <c:showPercent val="0"/>
          <c:showBubbleSize val="0"/>
        </c:dLbls>
        <c:gapWidth val="150"/>
        <c:overlap val="-25"/>
        <c:axId val="268848512"/>
        <c:axId val="268870784"/>
      </c:barChart>
      <c:catAx>
        <c:axId val="268848512"/>
        <c:scaling>
          <c:orientation val="minMax"/>
        </c:scaling>
        <c:delete val="0"/>
        <c:axPos val="l"/>
        <c:majorTickMark val="none"/>
        <c:minorTickMark val="none"/>
        <c:tickLblPos val="nextTo"/>
        <c:crossAx val="268870784"/>
        <c:crosses val="autoZero"/>
        <c:auto val="1"/>
        <c:lblAlgn val="ctr"/>
        <c:lblOffset val="100"/>
        <c:noMultiLvlLbl val="0"/>
      </c:catAx>
      <c:valAx>
        <c:axId val="268870784"/>
        <c:scaling>
          <c:orientation val="minMax"/>
        </c:scaling>
        <c:delete val="1"/>
        <c:axPos val="b"/>
        <c:numFmt formatCode="0.00%" sourceLinked="1"/>
        <c:majorTickMark val="none"/>
        <c:minorTickMark val="none"/>
        <c:tickLblPos val="nextTo"/>
        <c:crossAx val="268848512"/>
        <c:crosses val="autoZero"/>
        <c:crossBetween val="between"/>
      </c:valAx>
    </c:plotArea>
    <c:legend>
      <c:legendPos val="t"/>
      <c:overlay val="0"/>
    </c:legend>
    <c:plotVisOnly val="1"/>
    <c:dispBlanksAs val="gap"/>
    <c:showDLblsOverMax val="0"/>
  </c:chart>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pivotSource>
    <c:name>[Portfolio Survey.xls]Sheet5!PivotTable3</c:name>
    <c:fmtId val="-1"/>
  </c:pivotSource>
  <c:chart>
    <c:title>
      <c:tx>
        <c:rich>
          <a:bodyPr/>
          <a:lstStyle/>
          <a:p>
            <a:pPr>
              <a:defRPr/>
            </a:pPr>
            <a:r>
              <a:rPr lang="en-US"/>
              <a:t>Cities</a:t>
            </a:r>
            <a:r>
              <a:rPr lang="en-US" baseline="0"/>
              <a:t> and Customers</a:t>
            </a:r>
            <a:endParaRPr lang="en-US"/>
          </a:p>
        </c:rich>
      </c:tx>
      <c:overlay val="0"/>
    </c:title>
    <c:autoTitleDeleted val="0"/>
    <c:pivotFmts>
      <c:pivotFmt>
        <c:idx val="0"/>
        <c:dLbl>
          <c:idx val="0"/>
          <c:spPr/>
          <c:txPr>
            <a:bodyPr/>
            <a:lstStyle/>
            <a:p>
              <a:pPr>
                <a:defRPr/>
              </a:pPr>
              <a:endParaRPr lang="en-US"/>
            </a:p>
          </c:txPr>
          <c:showLegendKey val="0"/>
          <c:showVal val="1"/>
          <c:showCatName val="0"/>
          <c:showSerName val="0"/>
          <c:showPercent val="0"/>
          <c:showBubbleSize val="0"/>
        </c:dLbl>
      </c:pivotFmt>
      <c:pivotFmt>
        <c:idx val="1"/>
        <c:marker>
          <c:symbol val="none"/>
        </c:marker>
        <c:dLbl>
          <c:idx val="0"/>
          <c:spPr/>
          <c:txPr>
            <a:bodyPr/>
            <a:lstStyle/>
            <a:p>
              <a:pPr>
                <a:defRPr/>
              </a:pPr>
              <a:endParaRPr lang="en-US"/>
            </a:p>
          </c:txPr>
          <c:showLegendKey val="0"/>
          <c:showVal val="1"/>
          <c:showCatName val="0"/>
          <c:showSerName val="0"/>
          <c:showPercent val="0"/>
          <c:showBubbleSize val="0"/>
        </c:dLbl>
      </c:pivotFmt>
      <c:pivotFmt>
        <c:idx val="2"/>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bar"/>
        <c:grouping val="clustered"/>
        <c:varyColors val="0"/>
        <c:ser>
          <c:idx val="0"/>
          <c:order val="0"/>
          <c:tx>
            <c:strRef>
              <c:f>Sheet5!$B$3:$B$4</c:f>
              <c:strCache>
                <c:ptCount val="1"/>
                <c:pt idx="0">
                  <c:v>Total</c:v>
                </c:pt>
              </c:strCache>
            </c:strRef>
          </c:tx>
          <c:invertIfNegative val="0"/>
          <c:cat>
            <c:strRef>
              <c:f>Sheet5!$A$5:$A$15</c:f>
              <c:strCache>
                <c:ptCount val="10"/>
                <c:pt idx="0">
                  <c:v>Ahmedabad</c:v>
                </c:pt>
                <c:pt idx="1">
                  <c:v>Bangalore</c:v>
                </c:pt>
                <c:pt idx="2">
                  <c:v>Chennai</c:v>
                </c:pt>
                <c:pt idx="3">
                  <c:v>Delhi</c:v>
                </c:pt>
                <c:pt idx="4">
                  <c:v>Hyderabad</c:v>
                </c:pt>
                <c:pt idx="5">
                  <c:v>Jaipur</c:v>
                </c:pt>
                <c:pt idx="6">
                  <c:v>Kolkata</c:v>
                </c:pt>
                <c:pt idx="7">
                  <c:v>Lucknow</c:v>
                </c:pt>
                <c:pt idx="8">
                  <c:v>Mumbai</c:v>
                </c:pt>
                <c:pt idx="9">
                  <c:v>Pune</c:v>
                </c:pt>
              </c:strCache>
            </c:strRef>
          </c:cat>
          <c:val>
            <c:numRef>
              <c:f>Sheet5!$B$5:$B$15</c:f>
              <c:numCache>
                <c:formatCode>0.00%</c:formatCode>
                <c:ptCount val="10"/>
                <c:pt idx="0">
                  <c:v>4.5600000000000002E-2</c:v>
                </c:pt>
                <c:pt idx="1">
                  <c:v>0.2828</c:v>
                </c:pt>
                <c:pt idx="2">
                  <c:v>9.3700000000000006E-2</c:v>
                </c:pt>
                <c:pt idx="3">
                  <c:v>4.2900000000000001E-2</c:v>
                </c:pt>
                <c:pt idx="4">
                  <c:v>0.18329999999999999</c:v>
                </c:pt>
                <c:pt idx="5">
                  <c:v>3.5999999999999997E-2</c:v>
                </c:pt>
                <c:pt idx="6">
                  <c:v>5.6599999999999998E-2</c:v>
                </c:pt>
                <c:pt idx="7">
                  <c:v>1.7500000000000002E-2</c:v>
                </c:pt>
                <c:pt idx="8">
                  <c:v>0.151</c:v>
                </c:pt>
                <c:pt idx="9">
                  <c:v>9.06E-2</c:v>
                </c:pt>
              </c:numCache>
            </c:numRef>
          </c:val>
        </c:ser>
        <c:dLbls>
          <c:showLegendKey val="0"/>
          <c:showVal val="1"/>
          <c:showCatName val="0"/>
          <c:showSerName val="0"/>
          <c:showPercent val="0"/>
          <c:showBubbleSize val="0"/>
        </c:dLbls>
        <c:gapWidth val="150"/>
        <c:overlap val="-25"/>
        <c:axId val="271510528"/>
        <c:axId val="269251328"/>
      </c:barChart>
      <c:catAx>
        <c:axId val="271510528"/>
        <c:scaling>
          <c:orientation val="minMax"/>
        </c:scaling>
        <c:delete val="0"/>
        <c:axPos val="l"/>
        <c:majorTickMark val="none"/>
        <c:minorTickMark val="none"/>
        <c:tickLblPos val="nextTo"/>
        <c:crossAx val="269251328"/>
        <c:crosses val="autoZero"/>
        <c:auto val="1"/>
        <c:lblAlgn val="ctr"/>
        <c:lblOffset val="100"/>
        <c:noMultiLvlLbl val="0"/>
      </c:catAx>
      <c:valAx>
        <c:axId val="269251328"/>
        <c:scaling>
          <c:orientation val="minMax"/>
        </c:scaling>
        <c:delete val="1"/>
        <c:axPos val="b"/>
        <c:numFmt formatCode="0.00%" sourceLinked="1"/>
        <c:majorTickMark val="none"/>
        <c:minorTickMark val="none"/>
        <c:tickLblPos val="nextTo"/>
        <c:crossAx val="271510528"/>
        <c:crosses val="autoZero"/>
        <c:crossBetween val="between"/>
      </c:valAx>
    </c:plotArea>
    <c:legend>
      <c:legendPos val="t"/>
      <c:overlay val="0"/>
    </c:legend>
    <c:plotVisOnly val="1"/>
    <c:dispBlanksAs val="gap"/>
    <c:showDLblsOverMax val="0"/>
  </c:chart>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pivotSource>
    <c:name>[Portfolio Survey.xls]Sheet5!PivotTable3</c:name>
    <c:fmtId val="-1"/>
  </c:pivotSource>
  <c:chart>
    <c:title>
      <c:tx>
        <c:rich>
          <a:bodyPr/>
          <a:lstStyle/>
          <a:p>
            <a:pPr>
              <a:defRPr/>
            </a:pPr>
            <a:r>
              <a:rPr lang="en-US"/>
              <a:t>Place</a:t>
            </a:r>
            <a:r>
              <a:rPr lang="en-US" baseline="0"/>
              <a:t> Of Prefrence</a:t>
            </a:r>
            <a:endParaRPr lang="en-US"/>
          </a:p>
        </c:rich>
      </c:tx>
      <c:overlay val="0"/>
    </c:title>
    <c:autoTitleDeleted val="0"/>
    <c:pivotFmts>
      <c:pivotFmt>
        <c:idx val="0"/>
        <c:dLbl>
          <c:idx val="0"/>
          <c:showLegendKey val="0"/>
          <c:showVal val="1"/>
          <c:showCatName val="0"/>
          <c:showSerName val="0"/>
          <c:showPercent val="0"/>
          <c:showBubbleSize val="0"/>
        </c:dLbl>
      </c:pivotFmt>
      <c:pivotFmt>
        <c:idx val="1"/>
        <c:dLbl>
          <c:idx val="0"/>
          <c:showLegendKey val="0"/>
          <c:showVal val="1"/>
          <c:showCatName val="0"/>
          <c:showSerName val="0"/>
          <c:showPercent val="0"/>
          <c:showBubbleSize val="0"/>
        </c:dLbl>
      </c:pivotFmt>
      <c:pivotFmt>
        <c:idx val="2"/>
        <c:dLbl>
          <c:idx val="0"/>
          <c:showLegendKey val="0"/>
          <c:showVal val="1"/>
          <c:showCatName val="0"/>
          <c:showSerName val="0"/>
          <c:showPercent val="0"/>
          <c:showBubbleSize val="0"/>
        </c:dLbl>
      </c:pivotFmt>
      <c:pivotFmt>
        <c:idx val="3"/>
        <c:marker>
          <c:symbol val="none"/>
        </c:marker>
        <c:dLbl>
          <c:idx val="0"/>
          <c:spPr/>
          <c:txPr>
            <a:bodyPr/>
            <a:lstStyle/>
            <a:p>
              <a:pPr>
                <a:defRPr/>
              </a:pPr>
              <a:endParaRPr lang="en-US"/>
            </a:p>
          </c:txPr>
          <c:showLegendKey val="0"/>
          <c:showVal val="1"/>
          <c:showCatName val="0"/>
          <c:showSerName val="0"/>
          <c:showPercent val="0"/>
          <c:showBubbleSize val="0"/>
        </c:dLbl>
      </c:pivotFmt>
      <c:pivotFmt>
        <c:idx val="4"/>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col"/>
        <c:grouping val="clustered"/>
        <c:varyColors val="0"/>
        <c:ser>
          <c:idx val="0"/>
          <c:order val="0"/>
          <c:tx>
            <c:strRef>
              <c:f>Sheet5!$B$3:$B$4</c:f>
              <c:strCache>
                <c:ptCount val="1"/>
                <c:pt idx="0">
                  <c:v>Total</c:v>
                </c:pt>
              </c:strCache>
            </c:strRef>
          </c:tx>
          <c:invertIfNegative val="0"/>
          <c:cat>
            <c:strRef>
              <c:f>Sheet5!$A$5:$A$10</c:f>
              <c:strCache>
                <c:ptCount val="5"/>
                <c:pt idx="0">
                  <c:v>Gyms and fitness centers</c:v>
                </c:pt>
                <c:pt idx="1">
                  <c:v>Local stores</c:v>
                </c:pt>
                <c:pt idx="2">
                  <c:v>Online retailers</c:v>
                </c:pt>
                <c:pt idx="3">
                  <c:v>Other</c:v>
                </c:pt>
                <c:pt idx="4">
                  <c:v>Supermarkets</c:v>
                </c:pt>
              </c:strCache>
            </c:strRef>
          </c:cat>
          <c:val>
            <c:numRef>
              <c:f>Sheet5!$B$5:$B$10</c:f>
              <c:numCache>
                <c:formatCode>0.00%</c:formatCode>
                <c:ptCount val="5"/>
                <c:pt idx="0">
                  <c:v>0.1464</c:v>
                </c:pt>
                <c:pt idx="1">
                  <c:v>8.1299999999999997E-2</c:v>
                </c:pt>
                <c:pt idx="2">
                  <c:v>0.255</c:v>
                </c:pt>
                <c:pt idx="3">
                  <c:v>6.7900000000000002E-2</c:v>
                </c:pt>
                <c:pt idx="4">
                  <c:v>0.44940000000000002</c:v>
                </c:pt>
              </c:numCache>
            </c:numRef>
          </c:val>
        </c:ser>
        <c:dLbls>
          <c:showLegendKey val="0"/>
          <c:showVal val="1"/>
          <c:showCatName val="0"/>
          <c:showSerName val="0"/>
          <c:showPercent val="0"/>
          <c:showBubbleSize val="0"/>
        </c:dLbls>
        <c:gapWidth val="95"/>
        <c:axId val="271661312"/>
        <c:axId val="271671296"/>
      </c:barChart>
      <c:catAx>
        <c:axId val="271661312"/>
        <c:scaling>
          <c:orientation val="minMax"/>
        </c:scaling>
        <c:delete val="0"/>
        <c:axPos val="b"/>
        <c:majorTickMark val="none"/>
        <c:minorTickMark val="none"/>
        <c:tickLblPos val="nextTo"/>
        <c:crossAx val="271671296"/>
        <c:crosses val="autoZero"/>
        <c:auto val="1"/>
        <c:lblAlgn val="ctr"/>
        <c:lblOffset val="100"/>
        <c:noMultiLvlLbl val="0"/>
      </c:catAx>
      <c:valAx>
        <c:axId val="271671296"/>
        <c:scaling>
          <c:orientation val="minMax"/>
        </c:scaling>
        <c:delete val="1"/>
        <c:axPos val="l"/>
        <c:numFmt formatCode="0.00%" sourceLinked="1"/>
        <c:majorTickMark val="none"/>
        <c:minorTickMark val="none"/>
        <c:tickLblPos val="nextTo"/>
        <c:crossAx val="271661312"/>
        <c:crosses val="autoZero"/>
        <c:crossBetween val="between"/>
      </c:valAx>
    </c:plotArea>
    <c:legend>
      <c:legendPos val="t"/>
      <c:overlay val="0"/>
    </c:legend>
    <c:plotVisOnly val="1"/>
    <c:dispBlanksAs val="gap"/>
    <c:showDLblsOverMax val="0"/>
  </c:chart>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[Portfolio Survey.xls]Sheet1!PivotTable1</c:name>
    <c:fmtId val="-1"/>
  </c:pivotSource>
  <c:chart>
    <c:title>
      <c:tx>
        <c:rich>
          <a:bodyPr/>
          <a:lstStyle/>
          <a:p>
            <a:pPr>
              <a:defRPr/>
            </a:pPr>
            <a:r>
              <a:rPr lang="en-US"/>
              <a:t>Consumption</a:t>
            </a:r>
            <a:r>
              <a:rPr lang="en-US" baseline="0"/>
              <a:t> Situation</a:t>
            </a:r>
            <a:endParaRPr lang="en-US"/>
          </a:p>
        </c:rich>
      </c:tx>
      <c:overlay val="0"/>
    </c:title>
    <c:autoTitleDeleted val="0"/>
    <c:pivotFmts>
      <c:pivotFmt>
        <c:idx val="0"/>
        <c:marker>
          <c:symbol val="none"/>
        </c:marker>
        <c:dLbl>
          <c:idx val="0"/>
          <c:spPr/>
          <c:txPr>
            <a:bodyPr/>
            <a:lstStyle/>
            <a:p>
              <a:pPr>
                <a:defRPr/>
              </a:pPr>
              <a:endParaRPr lang="en-US"/>
            </a:p>
          </c:txPr>
          <c:showLegendKey val="0"/>
          <c:showVal val="1"/>
          <c:showCatName val="0"/>
          <c:showSerName val="0"/>
          <c:showPercent val="0"/>
          <c:showBubbleSize val="0"/>
        </c:dLbl>
      </c:pivotFmt>
      <c:pivotFmt>
        <c:idx val="1"/>
        <c:dLbl>
          <c:idx val="0"/>
          <c:layout>
            <c:manualLayout>
              <c:x val="8.0555555555555561E-2"/>
              <c:y val="8.4875562720133283E-17"/>
            </c:manualLayout>
          </c:layout>
          <c:showLegendKey val="0"/>
          <c:showVal val="1"/>
          <c:showCatName val="0"/>
          <c:showSerName val="0"/>
          <c:showPercent val="0"/>
          <c:showBubbleSize val="0"/>
        </c:dLbl>
      </c:pivotFmt>
      <c:pivotFmt>
        <c:idx val="2"/>
        <c:dLbl>
          <c:idx val="0"/>
          <c:layout>
            <c:manualLayout>
              <c:x val="0.05"/>
              <c:y val="4.6296296296296294E-3"/>
            </c:manualLayout>
          </c:layout>
          <c:showLegendKey val="0"/>
          <c:showVal val="1"/>
          <c:showCatName val="0"/>
          <c:showSerName val="0"/>
          <c:showPercent val="0"/>
          <c:showBubbleSize val="0"/>
        </c:dLbl>
      </c:pivotFmt>
      <c:pivotFmt>
        <c:idx val="3"/>
        <c:marker>
          <c:symbol val="none"/>
        </c:marker>
        <c:dLbl>
          <c:idx val="0"/>
          <c:spPr/>
          <c:txPr>
            <a:bodyPr/>
            <a:lstStyle/>
            <a:p>
              <a:pPr>
                <a:defRPr/>
              </a:pPr>
              <a:endParaRPr lang="en-US"/>
            </a:p>
          </c:txPr>
          <c:showLegendKey val="0"/>
          <c:showVal val="1"/>
          <c:showCatName val="0"/>
          <c:showSerName val="0"/>
          <c:showPercent val="0"/>
          <c:showBubbleSize val="0"/>
        </c:dLbl>
      </c:pivotFmt>
      <c:pivotFmt>
        <c:idx val="4"/>
        <c:dLbl>
          <c:idx val="0"/>
          <c:layout>
            <c:manualLayout>
              <c:x val="0.05"/>
              <c:y val="4.6296296296296294E-3"/>
            </c:manualLayout>
          </c:layout>
          <c:showLegendKey val="0"/>
          <c:showVal val="1"/>
          <c:showCatName val="0"/>
          <c:showSerName val="0"/>
          <c:showPercent val="0"/>
          <c:showBubbleSize val="0"/>
        </c:dLbl>
      </c:pivotFmt>
      <c:pivotFmt>
        <c:idx val="5"/>
        <c:dLbl>
          <c:idx val="0"/>
          <c:layout>
            <c:manualLayout>
              <c:x val="8.0555555555555561E-2"/>
              <c:y val="8.4875562720133283E-17"/>
            </c:manualLayout>
          </c:layout>
          <c:showLegendKey val="0"/>
          <c:showVal val="1"/>
          <c:showCatName val="0"/>
          <c:showSerName val="0"/>
          <c:showPercent val="0"/>
          <c:showBubbleSize val="0"/>
        </c:dLbl>
      </c:pivotFmt>
      <c:pivotFmt>
        <c:idx val="6"/>
        <c:marker>
          <c:symbol val="none"/>
        </c:marker>
        <c:dLbl>
          <c:idx val="0"/>
          <c:spPr/>
          <c:txPr>
            <a:bodyPr/>
            <a:lstStyle/>
            <a:p>
              <a:pPr>
                <a:defRPr/>
              </a:pPr>
              <a:endParaRPr lang="en-US"/>
            </a:p>
          </c:txPr>
          <c:showLegendKey val="0"/>
          <c:showVal val="1"/>
          <c:showCatName val="0"/>
          <c:showSerName val="0"/>
          <c:showPercent val="0"/>
          <c:showBubbleSize val="0"/>
        </c:dLbl>
      </c:pivotFmt>
      <c:pivotFmt>
        <c:idx val="7"/>
        <c:dLbl>
          <c:idx val="0"/>
          <c:layout>
            <c:manualLayout>
              <c:x val="0.05"/>
              <c:y val="4.6296296296296294E-3"/>
            </c:manualLayout>
          </c:layout>
          <c:showLegendKey val="0"/>
          <c:showVal val="1"/>
          <c:showCatName val="0"/>
          <c:showSerName val="0"/>
          <c:showPercent val="0"/>
          <c:showBubbleSize val="0"/>
        </c:dLbl>
      </c:pivotFmt>
      <c:pivotFmt>
        <c:idx val="8"/>
        <c:dLbl>
          <c:idx val="0"/>
          <c:layout>
            <c:manualLayout>
              <c:x val="8.0555555555555561E-2"/>
              <c:y val="8.4875562720133283E-17"/>
            </c:manualLayout>
          </c:layout>
          <c:showLegendKey val="0"/>
          <c:showVal val="1"/>
          <c:showCatName val="0"/>
          <c:showSerName val="0"/>
          <c:showPercent val="0"/>
          <c:showBubbleSize val="0"/>
        </c:dLbl>
      </c:pivotFmt>
    </c:pivotFmts>
    <c:plotArea>
      <c:layout/>
      <c:barChart>
        <c:barDir val="bar"/>
        <c:grouping val="stacked"/>
        <c:varyColors val="0"/>
        <c:ser>
          <c:idx val="0"/>
          <c:order val="0"/>
          <c:tx>
            <c:strRef>
              <c:f>Sheet1!$B$3:$B$4</c:f>
              <c:strCache>
                <c:ptCount val="1"/>
                <c:pt idx="0">
                  <c:v>Total</c:v>
                </c:pt>
              </c:strCache>
            </c:strRef>
          </c:tx>
          <c:invertIfNegative val="0"/>
          <c:dLbls>
            <c:dLbl>
              <c:idx val="0"/>
              <c:layout>
                <c:manualLayout>
                  <c:x val="0.05"/>
                  <c:y val="4.6296296296296294E-3"/>
                </c:manualLayout>
              </c:layout>
              <c:showLegendKey val="0"/>
              <c:showVal val="1"/>
              <c:showCatName val="0"/>
              <c:showSerName val="0"/>
              <c:showPercent val="0"/>
              <c:showBubbleSize val="0"/>
            </c:dLbl>
            <c:dLbl>
              <c:idx val="1"/>
              <c:layout>
                <c:manualLayout>
                  <c:x val="8.0555555555555561E-2"/>
                  <c:y val="8.4875562720133283E-17"/>
                </c:manualLayout>
              </c:layout>
              <c:showLegendKey val="0"/>
              <c:showVal val="1"/>
              <c:showCatName val="0"/>
              <c:showSerName val="0"/>
              <c:showPercent val="0"/>
              <c:showBubbleSize val="0"/>
            </c:dLbl>
            <c:txPr>
              <a:bodyPr/>
              <a:lstStyle/>
              <a:p>
                <a:pPr>
                  <a:defRPr/>
                </a:pPr>
                <a:endParaRPr lang="en-US"/>
              </a:p>
            </c:txPr>
            <c:showLegendKey val="0"/>
            <c:showVal val="1"/>
            <c:showCatName val="0"/>
            <c:showSerName val="0"/>
            <c:showPercent val="0"/>
            <c:showBubbleSize val="0"/>
            <c:showLeaderLines val="0"/>
          </c:dLbls>
          <c:cat>
            <c:strRef>
              <c:f>Sheet1!$A$5:$A$10</c:f>
              <c:strCache>
                <c:ptCount val="5"/>
                <c:pt idx="0">
                  <c:v>Driving/commuting</c:v>
                </c:pt>
                <c:pt idx="1">
                  <c:v>Other</c:v>
                </c:pt>
                <c:pt idx="2">
                  <c:v>Social outings/parties</c:v>
                </c:pt>
                <c:pt idx="3">
                  <c:v>Sports/exercise</c:v>
                </c:pt>
                <c:pt idx="4">
                  <c:v>Studying/working late</c:v>
                </c:pt>
              </c:strCache>
            </c:strRef>
          </c:cat>
          <c:val>
            <c:numRef>
              <c:f>Sheet1!$B$5:$B$10</c:f>
              <c:numCache>
                <c:formatCode>0.00%</c:formatCode>
                <c:ptCount val="5"/>
                <c:pt idx="0">
                  <c:v>2.9700000000000001E-2</c:v>
                </c:pt>
                <c:pt idx="1">
                  <c:v>4.9099999999999998E-2</c:v>
                </c:pt>
                <c:pt idx="2">
                  <c:v>0.1487</c:v>
                </c:pt>
                <c:pt idx="3">
                  <c:v>0.44940000000000002</c:v>
                </c:pt>
                <c:pt idx="4">
                  <c:v>0.3231</c:v>
                </c:pt>
              </c:numCache>
            </c:numRef>
          </c:val>
        </c:ser>
        <c:dLbls>
          <c:showLegendKey val="0"/>
          <c:showVal val="1"/>
          <c:showCatName val="0"/>
          <c:showSerName val="0"/>
          <c:showPercent val="0"/>
          <c:showBubbleSize val="0"/>
        </c:dLbls>
        <c:gapWidth val="95"/>
        <c:overlap val="100"/>
        <c:axId val="319664512"/>
        <c:axId val="319667200"/>
      </c:barChart>
      <c:catAx>
        <c:axId val="319664512"/>
        <c:scaling>
          <c:orientation val="minMax"/>
        </c:scaling>
        <c:delete val="0"/>
        <c:axPos val="l"/>
        <c:majorTickMark val="none"/>
        <c:minorTickMark val="none"/>
        <c:tickLblPos val="nextTo"/>
        <c:crossAx val="319667200"/>
        <c:crosses val="autoZero"/>
        <c:auto val="1"/>
        <c:lblAlgn val="ctr"/>
        <c:lblOffset val="100"/>
        <c:noMultiLvlLbl val="0"/>
      </c:catAx>
      <c:valAx>
        <c:axId val="319667200"/>
        <c:scaling>
          <c:orientation val="minMax"/>
        </c:scaling>
        <c:delete val="1"/>
        <c:axPos val="b"/>
        <c:numFmt formatCode="0.00%" sourceLinked="1"/>
        <c:majorTickMark val="out"/>
        <c:minorTickMark val="none"/>
        <c:tickLblPos val="nextTo"/>
        <c:crossAx val="319664512"/>
        <c:crosses val="autoZero"/>
        <c:crossBetween val="between"/>
      </c:valAx>
    </c:plotArea>
    <c:legend>
      <c:legendPos val="t"/>
      <c:overlay val="0"/>
    </c:legend>
    <c:plotVisOnly val="1"/>
    <c:dispBlanksAs val="gap"/>
    <c:showDLblsOverMax val="0"/>
  </c:chart>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8"/>
    </mc:Choice>
    <mc:Fallback>
      <c:style val="48"/>
    </mc:Fallback>
  </mc:AlternateContent>
  <c:clrMapOvr bg1="lt1" tx1="dk1" bg2="lt2" tx2="dk2" accent1="accent1" accent2="accent2" accent3="accent3" accent4="accent4" accent5="accent5" accent6="accent6" hlink="hlink" folHlink="folHlink"/>
  <c:pivotSource>
    <c:name>[Portfolio Survey.xls]Sheet1!PivotTable1</c:name>
    <c:fmtId val="-1"/>
  </c:pivotSource>
  <c:chart>
    <c:title>
      <c:overlay val="0"/>
    </c:title>
    <c:autoTitleDeleted val="0"/>
    <c:pivotFmts>
      <c:pivotFmt>
        <c:idx val="0"/>
        <c:marker>
          <c:symbol val="none"/>
        </c:marker>
        <c:dLbl>
          <c:idx val="0"/>
          <c:spPr/>
          <c:txPr>
            <a:bodyPr/>
            <a:lstStyle/>
            <a:p>
              <a:pPr>
                <a:defRPr/>
              </a:pPr>
              <a:endParaRPr lang="en-US"/>
            </a:p>
          </c:txPr>
          <c:showLegendKey val="0"/>
          <c:showVal val="1"/>
          <c:showCatName val="0"/>
          <c:showSerName val="0"/>
          <c:showPercent val="0"/>
          <c:showBubbleSize val="0"/>
        </c:dLbl>
      </c:pivotFmt>
      <c:pivotFmt>
        <c:idx val="1"/>
      </c:pivotFmt>
      <c:pivotFmt>
        <c:idx val="2"/>
      </c:pivotFmt>
      <c:pivotFmt>
        <c:idx val="3"/>
        <c:marker>
          <c:symbol val="none"/>
        </c:marker>
        <c:dLbl>
          <c:idx val="0"/>
          <c:spPr/>
          <c:txPr>
            <a:bodyPr/>
            <a:lstStyle/>
            <a:p>
              <a:pPr>
                <a:defRPr/>
              </a:pPr>
              <a:endParaRPr lang="en-US"/>
            </a:p>
          </c:txPr>
          <c:showLegendKey val="0"/>
          <c:showVal val="1"/>
          <c:showCatName val="0"/>
          <c:showSerName val="0"/>
          <c:showPercent val="0"/>
          <c:showBubbleSize val="0"/>
        </c:dLbl>
      </c:pivotFmt>
      <c:pivotFmt>
        <c:idx val="4"/>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col"/>
        <c:grouping val="clustered"/>
        <c:varyColors val="0"/>
        <c:ser>
          <c:idx val="0"/>
          <c:order val="0"/>
          <c:tx>
            <c:strRef>
              <c:f>Sheet1!$B$3:$B$4</c:f>
              <c:strCache>
                <c:ptCount val="1"/>
                <c:pt idx="0">
                  <c:v>Total</c:v>
                </c:pt>
              </c:strCache>
            </c:strRef>
          </c:tx>
          <c:invertIfNegative val="0"/>
          <c:cat>
            <c:strRef>
              <c:f>Sheet1!$A$5:$A$8</c:f>
              <c:strCache>
                <c:ptCount val="3"/>
                <c:pt idx="0">
                  <c:v>No</c:v>
                </c:pt>
                <c:pt idx="1">
                  <c:v>Not Sure</c:v>
                </c:pt>
                <c:pt idx="2">
                  <c:v>Yes</c:v>
                </c:pt>
              </c:strCache>
            </c:strRef>
          </c:cat>
          <c:val>
            <c:numRef>
              <c:f>Sheet1!$B$5:$B$8</c:f>
              <c:numCache>
                <c:formatCode>0.00%</c:formatCode>
                <c:ptCount val="3"/>
                <c:pt idx="0">
                  <c:v>0.40229999999999999</c:v>
                </c:pt>
                <c:pt idx="1">
                  <c:v>0.2031</c:v>
                </c:pt>
                <c:pt idx="2">
                  <c:v>0.39460000000000001</c:v>
                </c:pt>
              </c:numCache>
            </c:numRef>
          </c:val>
        </c:ser>
        <c:dLbls>
          <c:showLegendKey val="0"/>
          <c:showVal val="1"/>
          <c:showCatName val="0"/>
          <c:showSerName val="0"/>
          <c:showPercent val="0"/>
          <c:showBubbleSize val="0"/>
        </c:dLbls>
        <c:gapWidth val="150"/>
        <c:overlap val="-25"/>
        <c:axId val="340747392"/>
        <c:axId val="340748928"/>
      </c:barChart>
      <c:catAx>
        <c:axId val="340747392"/>
        <c:scaling>
          <c:orientation val="minMax"/>
        </c:scaling>
        <c:delete val="0"/>
        <c:axPos val="b"/>
        <c:majorTickMark val="none"/>
        <c:minorTickMark val="none"/>
        <c:tickLblPos val="nextTo"/>
        <c:crossAx val="340748928"/>
        <c:crosses val="autoZero"/>
        <c:auto val="1"/>
        <c:lblAlgn val="ctr"/>
        <c:lblOffset val="100"/>
        <c:noMultiLvlLbl val="0"/>
      </c:catAx>
      <c:valAx>
        <c:axId val="340748928"/>
        <c:scaling>
          <c:orientation val="minMax"/>
        </c:scaling>
        <c:delete val="1"/>
        <c:axPos val="l"/>
        <c:numFmt formatCode="0.00%" sourceLinked="1"/>
        <c:majorTickMark val="none"/>
        <c:minorTickMark val="none"/>
        <c:tickLblPos val="nextTo"/>
        <c:crossAx val="340747392"/>
        <c:crosses val="autoZero"/>
        <c:crossBetween val="between"/>
      </c:valAx>
    </c:plotArea>
    <c:legend>
      <c:legendPos val="t"/>
      <c:overlay val="0"/>
    </c:legend>
    <c:plotVisOnly val="1"/>
    <c:dispBlanksAs val="gap"/>
    <c:showDLblsOverMax val="0"/>
  </c:chart>
  <c:extLst>
    <c:ext xmlns:c14="http://schemas.microsoft.com/office/drawing/2007/8/2/chart" uri="{781A3756-C4B2-4CAC-9D66-4F8BD8637D16}">
      <c14:pivotOptions>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8"/>
    </mc:Choice>
    <mc:Fallback>
      <c:style val="48"/>
    </mc:Fallback>
  </mc:AlternateContent>
  <c:clrMapOvr bg1="lt1" tx1="dk1" bg2="lt2" tx2="dk2" accent1="accent1" accent2="accent2" accent3="accent3" accent4="accent4" accent5="accent5" accent6="accent6" hlink="hlink" folHlink="folHlink"/>
  <c:pivotSource>
    <c:name>[Portfolio Survey.xls]Sheet1!PivotTable1</c:name>
    <c:fmtId val="-1"/>
  </c:pivotSource>
  <c:chart>
    <c:title>
      <c:overlay val="0"/>
    </c:title>
    <c:autoTitleDeleted val="0"/>
    <c:pivotFmts>
      <c:pivotFmt>
        <c:idx val="0"/>
        <c:marker>
          <c:symbol val="none"/>
        </c:marker>
        <c:dLbl>
          <c:idx val="0"/>
          <c:spPr/>
          <c:txPr>
            <a:bodyPr/>
            <a:lstStyle/>
            <a:p>
              <a:pPr>
                <a:defRPr/>
              </a:pPr>
              <a:endParaRPr lang="en-US"/>
            </a:p>
          </c:txPr>
          <c:showLegendKey val="0"/>
          <c:showVal val="1"/>
          <c:showCatName val="0"/>
          <c:showSerName val="0"/>
          <c:showPercent val="0"/>
          <c:showBubbleSize val="0"/>
        </c:dLbl>
      </c:pivotFmt>
      <c:pivotFmt>
        <c:idx val="1"/>
      </c:pivotFmt>
      <c:pivotFmt>
        <c:idx val="2"/>
      </c:pivotFmt>
      <c:pivotFmt>
        <c:idx val="3"/>
        <c:marker>
          <c:symbol val="none"/>
        </c:marker>
        <c:dLbl>
          <c:idx val="0"/>
          <c:spPr/>
          <c:txPr>
            <a:bodyPr/>
            <a:lstStyle/>
            <a:p>
              <a:pPr>
                <a:defRPr/>
              </a:pPr>
              <a:endParaRPr lang="en-US"/>
            </a:p>
          </c:txPr>
          <c:showLegendKey val="0"/>
          <c:showVal val="1"/>
          <c:showCatName val="0"/>
          <c:showSerName val="0"/>
          <c:showPercent val="0"/>
          <c:showBubbleSize val="0"/>
        </c:dLbl>
      </c:pivotFmt>
      <c:pivotFmt>
        <c:idx val="4"/>
        <c:marker>
          <c:symbol val="none"/>
        </c:marker>
        <c:dLbl>
          <c:idx val="0"/>
          <c:spPr/>
          <c:txPr>
            <a:bodyPr/>
            <a:lstStyle/>
            <a:p>
              <a:pPr>
                <a:defRPr/>
              </a:pPr>
              <a:endParaRPr lang="en-US"/>
            </a:p>
          </c:txPr>
          <c:showLegendKey val="0"/>
          <c:showVal val="1"/>
          <c:showCatName val="0"/>
          <c:showSerName val="0"/>
          <c:showPercent val="0"/>
          <c:showBubbleSize val="0"/>
        </c:dLbl>
      </c:pivotFmt>
    </c:pivotFmts>
    <c:plotArea>
      <c:layout/>
      <c:barChart>
        <c:barDir val="col"/>
        <c:grouping val="clustered"/>
        <c:varyColors val="0"/>
        <c:ser>
          <c:idx val="0"/>
          <c:order val="0"/>
          <c:tx>
            <c:strRef>
              <c:f>Sheet1!$B$3:$B$4</c:f>
              <c:strCache>
                <c:ptCount val="1"/>
                <c:pt idx="0">
                  <c:v>Total</c:v>
                </c:pt>
              </c:strCache>
            </c:strRef>
          </c:tx>
          <c:invertIfNegative val="0"/>
          <c:cat>
            <c:strRef>
              <c:f>Sheet1!$A$5:$A$9</c:f>
              <c:strCache>
                <c:ptCount val="4"/>
                <c:pt idx="0">
                  <c:v>100-150</c:v>
                </c:pt>
                <c:pt idx="1">
                  <c:v>50-99</c:v>
                </c:pt>
                <c:pt idx="2">
                  <c:v>Above 150</c:v>
                </c:pt>
                <c:pt idx="3">
                  <c:v>Below 50</c:v>
                </c:pt>
              </c:strCache>
            </c:strRef>
          </c:cat>
          <c:val>
            <c:numRef>
              <c:f>Sheet1!$B$5:$B$9</c:f>
              <c:numCache>
                <c:formatCode>0.00%</c:formatCode>
                <c:ptCount val="4"/>
                <c:pt idx="0">
                  <c:v>0.31419999999999998</c:v>
                </c:pt>
                <c:pt idx="1">
                  <c:v>0.42880000000000001</c:v>
                </c:pt>
                <c:pt idx="2">
                  <c:v>0.15609999999999999</c:v>
                </c:pt>
                <c:pt idx="3">
                  <c:v>0.1009</c:v>
                </c:pt>
              </c:numCache>
            </c:numRef>
          </c:val>
        </c:ser>
        <c:dLbls>
          <c:showLegendKey val="0"/>
          <c:showVal val="1"/>
          <c:showCatName val="0"/>
          <c:showSerName val="0"/>
          <c:showPercent val="0"/>
          <c:showBubbleSize val="0"/>
        </c:dLbls>
        <c:gapWidth val="150"/>
        <c:overlap val="-25"/>
        <c:axId val="340779776"/>
        <c:axId val="340781312"/>
      </c:barChart>
      <c:catAx>
        <c:axId val="340779776"/>
        <c:scaling>
          <c:orientation val="minMax"/>
        </c:scaling>
        <c:delete val="0"/>
        <c:axPos val="b"/>
        <c:majorTickMark val="none"/>
        <c:minorTickMark val="none"/>
        <c:tickLblPos val="nextTo"/>
        <c:crossAx val="340781312"/>
        <c:crosses val="autoZero"/>
        <c:auto val="1"/>
        <c:lblAlgn val="ctr"/>
        <c:lblOffset val="100"/>
        <c:noMultiLvlLbl val="0"/>
      </c:catAx>
      <c:valAx>
        <c:axId val="340781312"/>
        <c:scaling>
          <c:orientation val="minMax"/>
        </c:scaling>
        <c:delete val="1"/>
        <c:axPos val="l"/>
        <c:numFmt formatCode="0.00%" sourceLinked="1"/>
        <c:majorTickMark val="none"/>
        <c:minorTickMark val="none"/>
        <c:tickLblPos val="nextTo"/>
        <c:crossAx val="340779776"/>
        <c:crosses val="autoZero"/>
        <c:crossBetween val="between"/>
      </c:valAx>
    </c:plotArea>
    <c:legend>
      <c:legendPos val="t"/>
      <c:overlay val="0"/>
    </c:legend>
    <c:plotVisOnly val="1"/>
    <c:dispBlanksAs val="gap"/>
    <c:showDLblsOverMax val="0"/>
  </c:chart>
  <c:extLst>
    <c:ext xmlns:c14="http://schemas.microsoft.com/office/drawing/2007/8/2/chart" uri="{781A3756-C4B2-4CAC-9D66-4F8BD8637D16}">
      <c14:pivotOptions>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lrMapOvr bg1="lt1" tx1="dk1" bg2="lt2" tx2="dk2" accent1="accent1" accent2="accent2" accent3="accent3" accent4="accent4" accent5="accent5" accent6="accent6" hlink="hlink" folHlink="folHlink"/>
  <c:pivotSource>
    <c:name>[Portfolio Survey.xls]Sheet1!PivotTable1</c:name>
    <c:fmtId val="-1"/>
  </c:pivotSource>
  <c:chart>
    <c:title>
      <c:tx>
        <c:rich>
          <a:bodyPr/>
          <a:lstStyle/>
          <a:p>
            <a:pPr>
              <a:defRPr/>
            </a:pPr>
            <a:r>
              <a:rPr lang="en-US"/>
              <a:t>Reason for Prefrence</a:t>
            </a:r>
          </a:p>
        </c:rich>
      </c:tx>
      <c:overlay val="0"/>
    </c:title>
    <c:autoTitleDeleted val="0"/>
    <c:pivotFmts>
      <c:pivotFmt>
        <c:idx val="0"/>
        <c:marker>
          <c:symbol val="none"/>
        </c:marker>
        <c:dLbl>
          <c:idx val="0"/>
          <c:spPr/>
          <c:txPr>
            <a:bodyPr/>
            <a:lstStyle/>
            <a:p>
              <a:pPr>
                <a:defRPr/>
              </a:pPr>
              <a:endParaRPr lang="en-US"/>
            </a:p>
          </c:txPr>
          <c:showLegendKey val="0"/>
          <c:showVal val="0"/>
          <c:showCatName val="1"/>
          <c:showSerName val="0"/>
          <c:showPercent val="1"/>
          <c:showBubbleSize val="0"/>
        </c:dLbl>
      </c:pivotFmt>
      <c:pivotFmt>
        <c:idx val="1"/>
        <c:marker>
          <c:symbol val="none"/>
        </c:marker>
        <c:dLbl>
          <c:idx val="0"/>
          <c:spPr/>
          <c:txPr>
            <a:bodyPr/>
            <a:lstStyle/>
            <a:p>
              <a:pPr>
                <a:defRPr/>
              </a:pPr>
              <a:endParaRPr lang="en-US"/>
            </a:p>
          </c:txPr>
          <c:showLegendKey val="0"/>
          <c:showVal val="0"/>
          <c:showCatName val="1"/>
          <c:showSerName val="0"/>
          <c:showPercent val="1"/>
          <c:showBubbleSize val="0"/>
        </c:dLbl>
      </c:pivotFmt>
      <c:pivotFmt>
        <c:idx val="2"/>
        <c:marker>
          <c:symbol val="none"/>
        </c:marker>
        <c:dLbl>
          <c:idx val="0"/>
          <c:spPr/>
          <c:txPr>
            <a:bodyPr/>
            <a:lstStyle/>
            <a:p>
              <a:pPr>
                <a:defRPr/>
              </a:pPr>
              <a:endParaRPr lang="en-US"/>
            </a:p>
          </c:txPr>
          <c:showLegendKey val="0"/>
          <c:showVal val="0"/>
          <c:showCatName val="1"/>
          <c:showSerName val="0"/>
          <c:showPercent val="1"/>
          <c:showBubbleSize val="0"/>
        </c:dLbl>
      </c:pivotFmt>
    </c:pivotFmts>
    <c:plotArea>
      <c:layout/>
      <c:pieChart>
        <c:varyColors val="1"/>
        <c:ser>
          <c:idx val="0"/>
          <c:order val="0"/>
          <c:tx>
            <c:strRef>
              <c:f>Sheet1!$B$3:$B$4</c:f>
              <c:strCache>
                <c:ptCount val="1"/>
                <c:pt idx="0">
                  <c:v>Total</c:v>
                </c:pt>
              </c:strCache>
            </c:strRef>
          </c:tx>
          <c:explosion val="25"/>
          <c:dLbls>
            <c:showLegendKey val="0"/>
            <c:showVal val="0"/>
            <c:showCatName val="1"/>
            <c:showSerName val="0"/>
            <c:showPercent val="1"/>
            <c:showBubbleSize val="0"/>
            <c:showLeaderLines val="1"/>
          </c:dLbls>
          <c:cat>
            <c:strRef>
              <c:f>Sheet1!$A$5:$A$10</c:f>
              <c:strCache>
                <c:ptCount val="5"/>
                <c:pt idx="0">
                  <c:v>Availability</c:v>
                </c:pt>
                <c:pt idx="1">
                  <c:v>Brand reputation</c:v>
                </c:pt>
                <c:pt idx="2">
                  <c:v>Effectiveness</c:v>
                </c:pt>
                <c:pt idx="3">
                  <c:v>Other</c:v>
                </c:pt>
                <c:pt idx="4">
                  <c:v>Taste/flavor preference</c:v>
                </c:pt>
              </c:strCache>
            </c:strRef>
          </c:cat>
          <c:val>
            <c:numRef>
              <c:f>Sheet1!$B$5:$B$10</c:f>
              <c:numCache>
                <c:formatCode>0.00%</c:formatCode>
                <c:ptCount val="5"/>
                <c:pt idx="0">
                  <c:v>0.191</c:v>
                </c:pt>
                <c:pt idx="1">
                  <c:v>0.26519999999999999</c:v>
                </c:pt>
                <c:pt idx="2">
                  <c:v>0.17480000000000001</c:v>
                </c:pt>
                <c:pt idx="3">
                  <c:v>0.16789999999999999</c:v>
                </c:pt>
                <c:pt idx="4">
                  <c:v>0.2011</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2">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0</TotalTime>
  <Pages>5</Pages>
  <Words>680</Words>
  <Characters>3882</Characters>
  <Application>Microsoft Office Word</Application>
  <DocSecurity>0</DocSecurity>
  <Lines>32</Lines>
  <Paragraphs>9</Paragraphs>
  <ScaleCrop>false</ScaleCrop>
  <Company/>
  <LinksUpToDate>false</LinksUpToDate>
  <CharactersWithSpaces>4553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dc:creator>
  <cp:keywords/>
  <dc:description/>
  <cp:lastModifiedBy>Usman</cp:lastModifiedBy>
  <cp:revision>2</cp:revision>
  <dcterms:created xsi:type="dcterms:W3CDTF">2024-04-15T11:31:00Z</dcterms:created>
  <dcterms:modified xsi:type="dcterms:W3CDTF">2024-04-15T11:31:00Z</dcterms:modified>
</cp:coreProperties>
</file>